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0EB" w:rsidP="00A860EB" w:rsidRDefault="00A860EB">
      <w:pPr>
        <w:jc w:val="center"/>
      </w:pPr>
      <w:bookmarkStart w:name="_GoBack" w:id="0"/>
      <w:bookmarkEnd w:id="0"/>
      <w:r>
        <w:rPr>
          <w:rFonts w:eastAsia="Times New Roman" w:cs="Times New Roman"/>
          <w:b/>
          <w:bCs/>
          <w:color w:val="C00000"/>
          <w:spacing w:val="2"/>
          <w:sz w:val="28"/>
          <w:szCs w:val="28"/>
        </w:rPr>
        <w:t>De Montfort University</w:t>
      </w:r>
    </w:p>
    <w:p w:rsidR="00A860EB" w:rsidP="00A860EB" w:rsidRDefault="006C1910">
      <w:pPr>
        <w:jc w:val="center"/>
      </w:pPr>
      <w:r>
        <w:rPr>
          <w:rFonts w:eastAsia="Times New Roman" w:cs="Times New Roman"/>
          <w:b/>
          <w:bCs/>
          <w:color w:val="C00000"/>
          <w:spacing w:val="2"/>
          <w:sz w:val="28"/>
          <w:szCs w:val="28"/>
        </w:rPr>
        <w:t>Ofsted inspection of Level 4/5 apprenticeships</w:t>
      </w:r>
      <w:r w:rsidR="00BD5308">
        <w:rPr>
          <w:rFonts w:eastAsia="Times New Roman" w:cs="Times New Roman"/>
          <w:b/>
          <w:bCs/>
          <w:color w:val="C00000"/>
          <w:spacing w:val="2"/>
          <w:sz w:val="28"/>
          <w:szCs w:val="28"/>
        </w:rPr>
        <w:t>: an overview</w:t>
      </w:r>
    </w:p>
    <w:p w:rsidR="00A860EB" w:rsidP="008C25C3" w:rsidRDefault="00A860EB">
      <w:pPr>
        <w:jc w:val="center"/>
        <w:rPr>
          <w:b/>
        </w:rPr>
      </w:pPr>
    </w:p>
    <w:p w:rsidR="00857774" w:rsidP="008C25C3" w:rsidRDefault="00857774">
      <w:r>
        <w:rPr>
          <w:rFonts w:eastAsia="Times New Roman" w:cs="Times New Roman"/>
          <w:b/>
          <w:bCs/>
          <w:color w:val="C00000"/>
          <w:spacing w:val="2"/>
          <w:sz w:val="28"/>
          <w:szCs w:val="28"/>
        </w:rPr>
        <w:t>Introduction</w:t>
      </w:r>
    </w:p>
    <w:p w:rsidR="006C1910" w:rsidP="006C1910" w:rsidRDefault="006C1910">
      <w:r>
        <w:t>Apprenticeships delivered at level</w:t>
      </w:r>
      <w:r w:rsidR="00947958">
        <w:t>s</w:t>
      </w:r>
      <w:r>
        <w:t xml:space="preserve"> 4 and 5 will be subject to regulation by Ofsted under the Education Inspection Framework </w:t>
      </w:r>
      <w:hyperlink w:history="1" r:id="rId7">
        <w:r>
          <w:rPr>
            <w:rStyle w:val="Hyperlink"/>
          </w:rPr>
          <w:t>https://www.gov.uk/government/publications/education-inspection-framework</w:t>
        </w:r>
      </w:hyperlink>
      <w:r>
        <w:t>.</w:t>
      </w:r>
    </w:p>
    <w:p w:rsidR="006F6C92" w:rsidP="006F6C92" w:rsidRDefault="00947958">
      <w:r>
        <w:t>The Further Education and Skills Inspection Handbook</w:t>
      </w:r>
      <w:r w:rsidR="006F6C92">
        <w:t xml:space="preserve"> </w:t>
      </w:r>
      <w:r>
        <w:t>provides information about how</w:t>
      </w:r>
      <w:r w:rsidR="006F6C92">
        <w:t xml:space="preserve"> Ofsted will inspect </w:t>
      </w:r>
      <w:r>
        <w:t xml:space="preserve">our levels 4 and 5 </w:t>
      </w:r>
      <w:r w:rsidR="006F6C92">
        <w:t xml:space="preserve">apprenticeships </w:t>
      </w:r>
      <w:hyperlink w:history="1" r:id="rId8">
        <w:r w:rsidR="006F6C92">
          <w:rPr>
            <w:rStyle w:val="Hyperlink"/>
          </w:rPr>
          <w:t>https://www.gov.uk/government/publications/further-education-and-skills-inspection-handbook-eif</w:t>
        </w:r>
      </w:hyperlink>
      <w:r w:rsidR="006F6C92">
        <w:t xml:space="preserve">.  This outlines the purpose and scope of Ofsted inspection, the types of provision inspected, the types of inspection and the areas of focus.  Part 2 of the handbook contains a useful evaluation schedule which shows how the provision will be judged. </w:t>
      </w:r>
      <w:r w:rsidR="00FB3550">
        <w:t xml:space="preserve"> </w:t>
      </w:r>
      <w:r w:rsidR="00B63285">
        <w:t>It is advisable</w:t>
      </w:r>
      <w:r w:rsidR="00FB3550">
        <w:t xml:space="preserve"> to read the handbook </w:t>
      </w:r>
      <w:r w:rsidR="00B63285">
        <w:t xml:space="preserve">in full </w:t>
      </w:r>
      <w:r w:rsidR="00FB3550">
        <w:t xml:space="preserve">to gain </w:t>
      </w:r>
      <w:r w:rsidR="00B63285">
        <w:t>a</w:t>
      </w:r>
      <w:r>
        <w:t>n</w:t>
      </w:r>
      <w:r w:rsidR="00FB3550">
        <w:t xml:space="preserve"> understanding of Ofsted inspection; this do</w:t>
      </w:r>
      <w:r w:rsidR="00FA219A">
        <w:t>cument provides a brief</w:t>
      </w:r>
      <w:r w:rsidR="00FB3550">
        <w:t xml:space="preserve"> overview but the handbook covers all aspects of inspection.</w:t>
      </w:r>
    </w:p>
    <w:p w:rsidR="00E6416D" w:rsidP="006F6C92" w:rsidRDefault="00E6416D">
      <w:r>
        <w:t xml:space="preserve">The document at the following link outlines the information you may need to provide for an Ofsted inspection </w:t>
      </w:r>
      <w:hyperlink w:history="1" w:anchor="information-you-may-need-to-share-with-inspectors" r:id="rId9">
        <w:r w:rsidRPr="00D43947">
          <w:rPr>
            <w:rStyle w:val="Hyperlink"/>
          </w:rPr>
          <w:t>https://www.gov.uk/government/publications/inspecting-further-education-and-skills-leaflet-for-providers/full-inspections-of-further-education-and-skills-providers#information-you-may-need-to-share-with-inspectors</w:t>
        </w:r>
      </w:hyperlink>
      <w:r>
        <w:t>.</w:t>
      </w:r>
    </w:p>
    <w:p w:rsidR="00F654BF" w:rsidP="008C25C3" w:rsidRDefault="00F654BF">
      <w:r>
        <w:t xml:space="preserve">The document at the following link outlines how safeguarding will be inspected </w:t>
      </w:r>
      <w:hyperlink w:history="1" r:id="rId10">
        <w:r w:rsidRPr="00D43947">
          <w:rPr>
            <w:rStyle w:val="Hyperlink"/>
          </w:rPr>
          <w:t>https://assets.publishing.service.gov.uk/government/uploads/system/uploads/attachment_data/file/800586/Inspecting_safeguarding_.pdf</w:t>
        </w:r>
      </w:hyperlink>
    </w:p>
    <w:p w:rsidR="00F654BF" w:rsidP="006C1910" w:rsidRDefault="00F654BF">
      <w:pPr>
        <w:rPr>
          <w:rFonts w:eastAsia="Times New Roman" w:cs="Times New Roman"/>
          <w:b/>
          <w:bCs/>
          <w:color w:val="C00000"/>
          <w:spacing w:val="2"/>
          <w:sz w:val="28"/>
          <w:szCs w:val="28"/>
        </w:rPr>
      </w:pPr>
    </w:p>
    <w:p w:rsidR="006C1910" w:rsidP="006C1910" w:rsidRDefault="006C1910">
      <w:pPr>
        <w:rPr>
          <w:b/>
          <w:i/>
        </w:rPr>
      </w:pPr>
      <w:r>
        <w:rPr>
          <w:rFonts w:eastAsia="Times New Roman" w:cs="Times New Roman"/>
          <w:b/>
          <w:bCs/>
          <w:color w:val="C00000"/>
          <w:spacing w:val="2"/>
          <w:sz w:val="28"/>
          <w:szCs w:val="28"/>
        </w:rPr>
        <w:t>Types of inspection</w:t>
      </w:r>
    </w:p>
    <w:p w:rsidR="008438E9" w:rsidP="008438E9" w:rsidRDefault="008438E9">
      <w:pPr>
        <w:spacing w:after="0" w:line="240" w:lineRule="auto"/>
        <w:ind w:right="-20"/>
        <w:rPr>
          <w:rFonts w:eastAsia="Times New Roman" w:cs="Times New Roman"/>
          <w:b/>
          <w:bCs/>
          <w:color w:val="44546A" w:themeColor="text2"/>
          <w:spacing w:val="-1"/>
          <w:sz w:val="24"/>
          <w:szCs w:val="24"/>
        </w:rPr>
      </w:pPr>
      <w:r>
        <w:rPr>
          <w:rFonts w:eastAsia="Times New Roman" w:cs="Times New Roman"/>
          <w:bCs/>
          <w:spacing w:val="-1"/>
        </w:rPr>
        <w:t>Whatever type of Ofsted inspection the university will undergo, we will only be notified of the inspection a few days before it takes place.  Therefore it is extremely important to be Ofsted-ready at all times.</w:t>
      </w:r>
    </w:p>
    <w:p w:rsidR="008438E9" w:rsidP="006C1910" w:rsidRDefault="008438E9">
      <w:pPr>
        <w:spacing w:after="0" w:line="240" w:lineRule="auto"/>
        <w:ind w:right="-20"/>
        <w:rPr>
          <w:rFonts w:eastAsia="Times New Roman" w:cs="Times New Roman"/>
          <w:b/>
          <w:bCs/>
          <w:color w:val="44546A" w:themeColor="text2"/>
          <w:spacing w:val="-1"/>
          <w:sz w:val="24"/>
          <w:szCs w:val="24"/>
        </w:rPr>
      </w:pPr>
    </w:p>
    <w:p w:rsidR="006C1910" w:rsidP="006C1910" w:rsidRDefault="006C1910">
      <w:pPr>
        <w:spacing w:after="0" w:line="240" w:lineRule="auto"/>
        <w:ind w:right="-20"/>
        <w:rPr>
          <w:rFonts w:eastAsia="Times New Roman" w:cs="Times New Roman"/>
          <w:b/>
          <w:bCs/>
          <w:color w:val="44546A" w:themeColor="text2"/>
          <w:spacing w:val="-1"/>
          <w:sz w:val="24"/>
          <w:szCs w:val="24"/>
        </w:rPr>
      </w:pPr>
      <w:r>
        <w:rPr>
          <w:rFonts w:eastAsia="Times New Roman" w:cs="Times New Roman"/>
          <w:b/>
          <w:bCs/>
          <w:color w:val="44546A" w:themeColor="text2"/>
          <w:spacing w:val="-1"/>
          <w:sz w:val="24"/>
          <w:szCs w:val="24"/>
        </w:rPr>
        <w:t>Monitoring visit</w:t>
      </w:r>
    </w:p>
    <w:p w:rsidR="00C8117E" w:rsidP="006C1910" w:rsidRDefault="00C8117E">
      <w:pPr>
        <w:spacing w:after="0" w:line="240" w:lineRule="auto"/>
        <w:ind w:right="-20"/>
        <w:rPr>
          <w:rFonts w:eastAsia="Times New Roman" w:cs="Times New Roman"/>
          <w:bCs/>
          <w:spacing w:val="-1"/>
        </w:rPr>
      </w:pPr>
      <w:r w:rsidRPr="00C8117E">
        <w:rPr>
          <w:rFonts w:eastAsia="Times New Roman" w:cs="Times New Roman"/>
          <w:bCs/>
          <w:spacing w:val="-1"/>
        </w:rPr>
        <w:t xml:space="preserve">The first visit that Ofsted will make to the university to inspect its </w:t>
      </w:r>
      <w:r>
        <w:rPr>
          <w:rFonts w:eastAsia="Times New Roman" w:cs="Times New Roman"/>
          <w:bCs/>
          <w:spacing w:val="-1"/>
        </w:rPr>
        <w:t xml:space="preserve">level 4/5 </w:t>
      </w:r>
      <w:r w:rsidRPr="00C8117E">
        <w:rPr>
          <w:rFonts w:eastAsia="Times New Roman" w:cs="Times New Roman"/>
          <w:bCs/>
          <w:spacing w:val="-1"/>
        </w:rPr>
        <w:t xml:space="preserve">apprenticeship provision </w:t>
      </w:r>
      <w:r w:rsidR="009C5CC6">
        <w:rPr>
          <w:rFonts w:eastAsia="Times New Roman" w:cs="Times New Roman"/>
          <w:bCs/>
          <w:spacing w:val="-1"/>
        </w:rPr>
        <w:t>is likely to</w:t>
      </w:r>
      <w:r w:rsidRPr="00C8117E">
        <w:rPr>
          <w:rFonts w:eastAsia="Times New Roman" w:cs="Times New Roman"/>
          <w:bCs/>
          <w:spacing w:val="-1"/>
        </w:rPr>
        <w:t xml:space="preserve"> be a monitoring visit</w:t>
      </w:r>
      <w:r w:rsidR="009C5CC6">
        <w:rPr>
          <w:rFonts w:eastAsia="Times New Roman" w:cs="Times New Roman"/>
          <w:bCs/>
          <w:spacing w:val="-1"/>
        </w:rPr>
        <w:t>, although it could be a full inspection</w:t>
      </w:r>
      <w:r w:rsidRPr="00C8117E">
        <w:rPr>
          <w:rFonts w:eastAsia="Times New Roman" w:cs="Times New Roman"/>
          <w:bCs/>
          <w:spacing w:val="-1"/>
        </w:rPr>
        <w:t>.</w:t>
      </w:r>
      <w:r>
        <w:rPr>
          <w:rFonts w:eastAsia="Times New Roman" w:cs="Times New Roman"/>
          <w:bCs/>
          <w:spacing w:val="-1"/>
        </w:rPr>
        <w:t xml:space="preserve"> This will normally take place within 24 months of starting to deliver Ofsted-regulated apprenticeship </w:t>
      </w:r>
      <w:r w:rsidR="008438E9">
        <w:rPr>
          <w:rFonts w:eastAsia="Times New Roman" w:cs="Times New Roman"/>
          <w:bCs/>
          <w:spacing w:val="-1"/>
        </w:rPr>
        <w:t xml:space="preserve">provision and is normally 1-2 days long. </w:t>
      </w:r>
      <w:r w:rsidR="00BC0B7A">
        <w:rPr>
          <w:rFonts w:eastAsia="Times New Roman" w:cs="Times New Roman"/>
          <w:bCs/>
          <w:spacing w:val="-1"/>
        </w:rPr>
        <w:t xml:space="preserve"> Normally the university will receive two working days’ notice of a monitoring visit.</w:t>
      </w:r>
      <w:r w:rsidR="009F5717">
        <w:rPr>
          <w:rFonts w:eastAsia="Times New Roman" w:cs="Times New Roman"/>
          <w:bCs/>
          <w:spacing w:val="-1"/>
        </w:rPr>
        <w:t xml:space="preserve"> </w:t>
      </w:r>
    </w:p>
    <w:p w:rsidR="008438E9" w:rsidP="006C1910" w:rsidRDefault="008438E9">
      <w:pPr>
        <w:spacing w:after="0" w:line="240" w:lineRule="auto"/>
        <w:ind w:right="-20"/>
        <w:rPr>
          <w:rFonts w:eastAsia="Times New Roman" w:cs="Times New Roman"/>
          <w:bCs/>
          <w:spacing w:val="-1"/>
        </w:rPr>
      </w:pPr>
    </w:p>
    <w:p w:rsidR="008438E9" w:rsidP="006C1910" w:rsidRDefault="008438E9">
      <w:pPr>
        <w:spacing w:after="0" w:line="240" w:lineRule="auto"/>
        <w:ind w:right="-20"/>
        <w:rPr>
          <w:rFonts w:eastAsia="Times New Roman" w:cs="Times New Roman"/>
          <w:bCs/>
          <w:spacing w:val="-1"/>
        </w:rPr>
      </w:pPr>
      <w:r>
        <w:rPr>
          <w:rFonts w:eastAsia="Times New Roman" w:cs="Times New Roman"/>
          <w:bCs/>
          <w:spacing w:val="-1"/>
        </w:rPr>
        <w:t>Areas of focus: key themes will be:</w:t>
      </w:r>
    </w:p>
    <w:p w:rsidR="008438E9" w:rsidP="008438E9" w:rsidRDefault="008438E9">
      <w:pPr>
        <w:pStyle w:val="ListParagraph"/>
        <w:numPr>
          <w:ilvl w:val="0"/>
          <w:numId w:val="2"/>
        </w:numPr>
        <w:spacing w:after="0" w:line="240" w:lineRule="auto"/>
        <w:ind w:right="-20"/>
        <w:rPr>
          <w:rFonts w:eastAsia="Times New Roman" w:cs="Times New Roman"/>
          <w:bCs/>
          <w:spacing w:val="-1"/>
        </w:rPr>
      </w:pPr>
      <w:r>
        <w:rPr>
          <w:rFonts w:eastAsia="Times New Roman" w:cs="Times New Roman"/>
          <w:bCs/>
          <w:spacing w:val="-1"/>
        </w:rPr>
        <w:t>Progress in leadership and management</w:t>
      </w:r>
    </w:p>
    <w:p w:rsidR="008438E9" w:rsidP="008438E9" w:rsidRDefault="008438E9">
      <w:pPr>
        <w:pStyle w:val="ListParagraph"/>
        <w:numPr>
          <w:ilvl w:val="0"/>
          <w:numId w:val="2"/>
        </w:numPr>
        <w:spacing w:after="0" w:line="240" w:lineRule="auto"/>
        <w:ind w:right="-20"/>
        <w:rPr>
          <w:rFonts w:eastAsia="Times New Roman" w:cs="Times New Roman"/>
          <w:bCs/>
          <w:spacing w:val="-1"/>
        </w:rPr>
      </w:pPr>
      <w:r>
        <w:rPr>
          <w:rFonts w:eastAsia="Times New Roman" w:cs="Times New Roman"/>
          <w:bCs/>
          <w:spacing w:val="-1"/>
        </w:rPr>
        <w:t>Progress in providing a high quality of education or training</w:t>
      </w:r>
    </w:p>
    <w:p w:rsidRPr="008438E9" w:rsidR="008438E9" w:rsidP="008438E9" w:rsidRDefault="008438E9">
      <w:pPr>
        <w:pStyle w:val="ListParagraph"/>
        <w:numPr>
          <w:ilvl w:val="0"/>
          <w:numId w:val="2"/>
        </w:numPr>
        <w:spacing w:after="0" w:line="240" w:lineRule="auto"/>
        <w:ind w:right="-20"/>
        <w:rPr>
          <w:rFonts w:eastAsia="Times New Roman" w:cs="Times New Roman"/>
          <w:bCs/>
          <w:spacing w:val="-1"/>
        </w:rPr>
      </w:pPr>
      <w:r>
        <w:rPr>
          <w:rFonts w:eastAsia="Times New Roman" w:cs="Times New Roman"/>
          <w:bCs/>
          <w:spacing w:val="-1"/>
        </w:rPr>
        <w:t>Progress towards ensuring effective safeguarding arrangements</w:t>
      </w:r>
    </w:p>
    <w:p w:rsidR="006C1910" w:rsidP="006C1910" w:rsidRDefault="006C1910">
      <w:pPr>
        <w:spacing w:after="0" w:line="240" w:lineRule="auto"/>
        <w:ind w:right="-20"/>
        <w:rPr>
          <w:rFonts w:eastAsia="Times New Roman" w:cs="Times New Roman"/>
          <w:b/>
          <w:bCs/>
          <w:color w:val="44546A" w:themeColor="text2"/>
          <w:spacing w:val="-1"/>
          <w:sz w:val="24"/>
          <w:szCs w:val="24"/>
        </w:rPr>
      </w:pPr>
    </w:p>
    <w:p w:rsidRPr="000B650F" w:rsidR="008438E9" w:rsidP="006C1910" w:rsidRDefault="008438E9">
      <w:pPr>
        <w:spacing w:after="0" w:line="240" w:lineRule="auto"/>
        <w:ind w:right="-20"/>
        <w:rPr>
          <w:rFonts w:eastAsia="Times New Roman" w:cs="Times New Roman"/>
          <w:bCs/>
          <w:color w:val="44546A" w:themeColor="text2"/>
          <w:spacing w:val="-1"/>
        </w:rPr>
      </w:pPr>
      <w:r w:rsidRPr="000B650F">
        <w:rPr>
          <w:rFonts w:eastAsia="Times New Roman" w:cs="Times New Roman"/>
          <w:bCs/>
          <w:spacing w:val="-1"/>
        </w:rPr>
        <w:t>Judgements</w:t>
      </w:r>
      <w:r w:rsidRPr="000B650F">
        <w:rPr>
          <w:rFonts w:eastAsia="Times New Roman" w:cs="Times New Roman"/>
          <w:bCs/>
          <w:color w:val="44546A" w:themeColor="text2"/>
          <w:spacing w:val="-1"/>
        </w:rPr>
        <w:t xml:space="preserve">: </w:t>
      </w:r>
    </w:p>
    <w:p w:rsidRPr="000B650F" w:rsidR="008438E9" w:rsidP="008438E9" w:rsidRDefault="008438E9">
      <w:pPr>
        <w:pStyle w:val="ListParagraph"/>
        <w:numPr>
          <w:ilvl w:val="0"/>
          <w:numId w:val="3"/>
        </w:numPr>
        <w:spacing w:after="0" w:line="240" w:lineRule="auto"/>
        <w:ind w:right="-20"/>
        <w:rPr>
          <w:rFonts w:eastAsia="Times New Roman" w:cs="Times New Roman"/>
          <w:bCs/>
          <w:color w:val="44546A" w:themeColor="text2"/>
          <w:spacing w:val="-1"/>
        </w:rPr>
      </w:pPr>
      <w:r w:rsidRPr="000B650F">
        <w:rPr>
          <w:rFonts w:eastAsia="Times New Roman" w:cs="Times New Roman"/>
          <w:bCs/>
          <w:spacing w:val="-1"/>
        </w:rPr>
        <w:t>Significant progress</w:t>
      </w:r>
    </w:p>
    <w:p w:rsidRPr="000B650F" w:rsidR="008438E9" w:rsidP="008438E9" w:rsidRDefault="008438E9">
      <w:pPr>
        <w:pStyle w:val="ListParagraph"/>
        <w:numPr>
          <w:ilvl w:val="0"/>
          <w:numId w:val="3"/>
        </w:numPr>
        <w:spacing w:after="0" w:line="240" w:lineRule="auto"/>
        <w:ind w:right="-20"/>
        <w:rPr>
          <w:rFonts w:eastAsia="Times New Roman" w:cs="Times New Roman"/>
          <w:bCs/>
          <w:color w:val="44546A" w:themeColor="text2"/>
          <w:spacing w:val="-1"/>
        </w:rPr>
      </w:pPr>
      <w:r w:rsidRPr="000B650F">
        <w:rPr>
          <w:rFonts w:eastAsia="Times New Roman" w:cs="Times New Roman"/>
          <w:bCs/>
          <w:spacing w:val="-1"/>
        </w:rPr>
        <w:t>Reasonable progress</w:t>
      </w:r>
    </w:p>
    <w:p w:rsidRPr="000B650F" w:rsidR="008438E9" w:rsidP="008438E9" w:rsidRDefault="008438E9">
      <w:pPr>
        <w:pStyle w:val="ListParagraph"/>
        <w:numPr>
          <w:ilvl w:val="0"/>
          <w:numId w:val="3"/>
        </w:numPr>
        <w:spacing w:after="0" w:line="240" w:lineRule="auto"/>
        <w:ind w:right="-20"/>
        <w:rPr>
          <w:rFonts w:eastAsia="Times New Roman" w:cs="Times New Roman"/>
          <w:bCs/>
          <w:color w:val="44546A" w:themeColor="text2"/>
          <w:spacing w:val="-1"/>
        </w:rPr>
      </w:pPr>
      <w:r w:rsidRPr="000B650F">
        <w:rPr>
          <w:rFonts w:eastAsia="Times New Roman" w:cs="Times New Roman"/>
          <w:bCs/>
          <w:spacing w:val="-1"/>
        </w:rPr>
        <w:t>Insufficient progress</w:t>
      </w:r>
    </w:p>
    <w:p w:rsidR="008438E9" w:rsidP="006C1910" w:rsidRDefault="008438E9">
      <w:pPr>
        <w:spacing w:after="0" w:line="240" w:lineRule="auto"/>
        <w:ind w:right="-20"/>
        <w:rPr>
          <w:rFonts w:eastAsia="Times New Roman" w:cs="Times New Roman"/>
          <w:bCs/>
          <w:color w:val="44546A" w:themeColor="text2"/>
          <w:spacing w:val="-1"/>
          <w:sz w:val="24"/>
          <w:szCs w:val="24"/>
        </w:rPr>
      </w:pPr>
    </w:p>
    <w:p w:rsidRPr="009F5717" w:rsidR="009F5717" w:rsidP="006C1910" w:rsidRDefault="009F5717">
      <w:pPr>
        <w:spacing w:after="0" w:line="240" w:lineRule="auto"/>
        <w:ind w:right="-20"/>
        <w:rPr>
          <w:rFonts w:eastAsia="Times New Roman" w:cs="Times New Roman"/>
          <w:bCs/>
          <w:spacing w:val="-1"/>
        </w:rPr>
      </w:pPr>
      <w:r w:rsidRPr="009F5717">
        <w:rPr>
          <w:rFonts w:eastAsia="Times New Roman" w:cs="Times New Roman"/>
          <w:bCs/>
          <w:spacing w:val="-1"/>
        </w:rPr>
        <w:t>Monitoring visits are also used where providers have been judged to require improvement at a previous inspection.</w:t>
      </w:r>
    </w:p>
    <w:p w:rsidR="009F5717" w:rsidP="006C1910" w:rsidRDefault="009F5717">
      <w:pPr>
        <w:spacing w:after="0" w:line="240" w:lineRule="auto"/>
        <w:ind w:right="-20"/>
        <w:rPr>
          <w:rFonts w:eastAsia="Times New Roman" w:cs="Times New Roman"/>
          <w:b/>
          <w:bCs/>
          <w:color w:val="44546A" w:themeColor="text2"/>
          <w:spacing w:val="-1"/>
          <w:sz w:val="24"/>
          <w:szCs w:val="24"/>
        </w:rPr>
      </w:pPr>
    </w:p>
    <w:p w:rsidRPr="00A860EB" w:rsidR="006C1910" w:rsidP="006C1910" w:rsidRDefault="006C1910">
      <w:pPr>
        <w:spacing w:after="0" w:line="240" w:lineRule="auto"/>
        <w:ind w:right="-20"/>
        <w:rPr>
          <w:rFonts w:eastAsia="Times New Roman" w:cs="Times New Roman"/>
          <w:b/>
          <w:bCs/>
          <w:color w:val="44546A" w:themeColor="text2"/>
          <w:spacing w:val="-1"/>
          <w:sz w:val="24"/>
          <w:szCs w:val="24"/>
        </w:rPr>
      </w:pPr>
      <w:r>
        <w:rPr>
          <w:rFonts w:eastAsia="Times New Roman" w:cs="Times New Roman"/>
          <w:b/>
          <w:bCs/>
          <w:color w:val="44546A" w:themeColor="text2"/>
          <w:spacing w:val="-1"/>
          <w:sz w:val="24"/>
          <w:szCs w:val="24"/>
        </w:rPr>
        <w:t>Full inspection</w:t>
      </w:r>
    </w:p>
    <w:p w:rsidR="00CA1C07" w:rsidP="006C1910" w:rsidRDefault="00CA1C07">
      <w:pPr>
        <w:spacing w:after="0" w:line="240" w:lineRule="auto"/>
        <w:ind w:right="-20"/>
        <w:rPr>
          <w:rFonts w:eastAsia="Times New Roman" w:cs="Times New Roman"/>
          <w:bCs/>
          <w:spacing w:val="-1"/>
        </w:rPr>
      </w:pPr>
      <w:r w:rsidRPr="000B650F">
        <w:rPr>
          <w:rFonts w:eastAsia="Times New Roman" w:cs="Times New Roman"/>
          <w:bCs/>
          <w:spacing w:val="-1"/>
        </w:rPr>
        <w:t>Following the monitoring visit Ofsted is likely to make a full inspection visit</w:t>
      </w:r>
      <w:r w:rsidR="00257B99">
        <w:rPr>
          <w:rFonts w:eastAsia="Times New Roman" w:cs="Times New Roman"/>
          <w:bCs/>
          <w:spacing w:val="-1"/>
        </w:rPr>
        <w:t xml:space="preserve"> </w:t>
      </w:r>
      <w:r w:rsidR="009C5CC6">
        <w:rPr>
          <w:rFonts w:eastAsia="Times New Roman" w:cs="Times New Roman"/>
          <w:bCs/>
          <w:spacing w:val="-1"/>
        </w:rPr>
        <w:t>within 24 months of publication of the monitoring visit report</w:t>
      </w:r>
      <w:r w:rsidR="00257B99">
        <w:rPr>
          <w:rFonts w:eastAsia="Times New Roman" w:cs="Times New Roman"/>
          <w:bCs/>
          <w:spacing w:val="-1"/>
        </w:rPr>
        <w:t>, or within 6-12 months if a judgement of ‘insufficient progress’ was made at the monitoring visit</w:t>
      </w:r>
      <w:r w:rsidRPr="000B650F" w:rsidR="000B650F">
        <w:rPr>
          <w:rFonts w:eastAsia="Times New Roman" w:cs="Times New Roman"/>
          <w:bCs/>
          <w:spacing w:val="-1"/>
        </w:rPr>
        <w:t xml:space="preserve">.  </w:t>
      </w:r>
      <w:r w:rsidR="009C5CC6">
        <w:rPr>
          <w:rFonts w:eastAsia="Times New Roman" w:cs="Times New Roman"/>
          <w:bCs/>
          <w:spacing w:val="-1"/>
        </w:rPr>
        <w:t>Full inspection is</w:t>
      </w:r>
      <w:r w:rsidRPr="000B650F" w:rsidR="000B650F">
        <w:rPr>
          <w:rFonts w:eastAsia="Times New Roman" w:cs="Times New Roman"/>
          <w:bCs/>
          <w:spacing w:val="-1"/>
        </w:rPr>
        <w:t xml:space="preserve"> normally used for first inspections, if an institution is graded as inadequate or requires improvement, of if the provider’s performance has declined. Based on previous experience the university is likely to receive two working days’ notice of a full inspection and the visit may be 4-5 days long.</w:t>
      </w:r>
    </w:p>
    <w:p w:rsidR="000B650F" w:rsidP="006C1910" w:rsidRDefault="000B650F">
      <w:pPr>
        <w:spacing w:after="0" w:line="240" w:lineRule="auto"/>
        <w:ind w:right="-20"/>
        <w:rPr>
          <w:rFonts w:eastAsia="Times New Roman" w:cs="Times New Roman"/>
          <w:bCs/>
          <w:spacing w:val="-1"/>
        </w:rPr>
      </w:pPr>
    </w:p>
    <w:p w:rsidR="000B650F" w:rsidP="006C1910" w:rsidRDefault="000B650F">
      <w:pPr>
        <w:spacing w:after="0" w:line="240" w:lineRule="auto"/>
        <w:ind w:right="-20"/>
        <w:rPr>
          <w:rFonts w:eastAsia="Times New Roman" w:cs="Times New Roman"/>
          <w:bCs/>
          <w:spacing w:val="-1"/>
        </w:rPr>
      </w:pPr>
      <w:r>
        <w:rPr>
          <w:rFonts w:eastAsia="Times New Roman" w:cs="Times New Roman"/>
          <w:bCs/>
          <w:spacing w:val="-1"/>
        </w:rPr>
        <w:t>Areas of focus (more information is provided on these</w:t>
      </w:r>
      <w:r w:rsidR="007F3DB1">
        <w:rPr>
          <w:rFonts w:eastAsia="Times New Roman" w:cs="Times New Roman"/>
          <w:bCs/>
          <w:spacing w:val="-1"/>
        </w:rPr>
        <w:t xml:space="preserve"> later in this document</w:t>
      </w:r>
      <w:r>
        <w:rPr>
          <w:rFonts w:eastAsia="Times New Roman" w:cs="Times New Roman"/>
          <w:bCs/>
          <w:spacing w:val="-1"/>
        </w:rPr>
        <w:t>):</w:t>
      </w:r>
    </w:p>
    <w:p w:rsidR="000B650F" w:rsidP="000B650F" w:rsidRDefault="000B650F">
      <w:pPr>
        <w:pStyle w:val="ListParagraph"/>
        <w:numPr>
          <w:ilvl w:val="0"/>
          <w:numId w:val="4"/>
        </w:numPr>
        <w:spacing w:after="0" w:line="240" w:lineRule="auto"/>
        <w:ind w:right="-20"/>
        <w:rPr>
          <w:rFonts w:eastAsia="Times New Roman" w:cs="Times New Roman"/>
          <w:bCs/>
          <w:spacing w:val="-1"/>
        </w:rPr>
      </w:pPr>
      <w:r w:rsidRPr="000B650F">
        <w:rPr>
          <w:rFonts w:eastAsia="Times New Roman" w:cs="Times New Roman"/>
          <w:bCs/>
          <w:spacing w:val="-1"/>
        </w:rPr>
        <w:t>Overall effectiveness</w:t>
      </w:r>
    </w:p>
    <w:p w:rsidR="000B650F" w:rsidP="000B650F" w:rsidRDefault="000B650F">
      <w:pPr>
        <w:pStyle w:val="ListParagraph"/>
        <w:numPr>
          <w:ilvl w:val="0"/>
          <w:numId w:val="4"/>
        </w:numPr>
        <w:spacing w:after="0" w:line="240" w:lineRule="auto"/>
        <w:ind w:right="-20"/>
        <w:rPr>
          <w:rFonts w:eastAsia="Times New Roman" w:cs="Times New Roman"/>
          <w:bCs/>
          <w:spacing w:val="-1"/>
        </w:rPr>
      </w:pPr>
      <w:r>
        <w:rPr>
          <w:rFonts w:eastAsia="Times New Roman" w:cs="Times New Roman"/>
          <w:bCs/>
          <w:spacing w:val="-1"/>
        </w:rPr>
        <w:t>Leadership and management</w:t>
      </w:r>
    </w:p>
    <w:p w:rsidR="000B650F" w:rsidP="000B650F" w:rsidRDefault="000B650F">
      <w:pPr>
        <w:pStyle w:val="ListParagraph"/>
        <w:numPr>
          <w:ilvl w:val="0"/>
          <w:numId w:val="4"/>
        </w:numPr>
        <w:spacing w:after="0" w:line="240" w:lineRule="auto"/>
        <w:ind w:right="-20"/>
        <w:rPr>
          <w:rFonts w:eastAsia="Times New Roman" w:cs="Times New Roman"/>
          <w:bCs/>
          <w:spacing w:val="-1"/>
        </w:rPr>
      </w:pPr>
      <w:r>
        <w:rPr>
          <w:rFonts w:eastAsia="Times New Roman" w:cs="Times New Roman"/>
          <w:bCs/>
          <w:spacing w:val="-1"/>
        </w:rPr>
        <w:t>Quality of education</w:t>
      </w:r>
    </w:p>
    <w:p w:rsidR="000B650F" w:rsidP="000B650F" w:rsidRDefault="000B650F">
      <w:pPr>
        <w:pStyle w:val="ListParagraph"/>
        <w:numPr>
          <w:ilvl w:val="0"/>
          <w:numId w:val="4"/>
        </w:numPr>
        <w:spacing w:after="0" w:line="240" w:lineRule="auto"/>
        <w:ind w:right="-20"/>
        <w:rPr>
          <w:rFonts w:eastAsia="Times New Roman" w:cs="Times New Roman"/>
          <w:bCs/>
          <w:spacing w:val="-1"/>
        </w:rPr>
      </w:pPr>
      <w:r>
        <w:rPr>
          <w:rFonts w:eastAsia="Times New Roman" w:cs="Times New Roman"/>
          <w:bCs/>
          <w:spacing w:val="-1"/>
        </w:rPr>
        <w:t>Personal development</w:t>
      </w:r>
    </w:p>
    <w:p w:rsidR="000B650F" w:rsidP="000B650F" w:rsidRDefault="000B650F">
      <w:pPr>
        <w:pStyle w:val="ListParagraph"/>
        <w:numPr>
          <w:ilvl w:val="0"/>
          <w:numId w:val="4"/>
        </w:numPr>
        <w:spacing w:after="0" w:line="240" w:lineRule="auto"/>
        <w:ind w:right="-20"/>
        <w:rPr>
          <w:rFonts w:eastAsia="Times New Roman" w:cs="Times New Roman"/>
          <w:bCs/>
          <w:spacing w:val="-1"/>
        </w:rPr>
      </w:pPr>
      <w:r>
        <w:rPr>
          <w:rFonts w:eastAsia="Times New Roman" w:cs="Times New Roman"/>
          <w:bCs/>
          <w:spacing w:val="-1"/>
        </w:rPr>
        <w:t>Behaviour and attitudes</w:t>
      </w:r>
    </w:p>
    <w:p w:rsidR="000B650F" w:rsidP="000B650F" w:rsidRDefault="000B650F">
      <w:pPr>
        <w:spacing w:after="0" w:line="240" w:lineRule="auto"/>
        <w:ind w:right="-20"/>
        <w:rPr>
          <w:rFonts w:eastAsia="Times New Roman" w:cs="Times New Roman"/>
          <w:bCs/>
          <w:spacing w:val="-1"/>
        </w:rPr>
      </w:pPr>
    </w:p>
    <w:p w:rsidR="000B650F" w:rsidP="000B650F" w:rsidRDefault="000B650F">
      <w:pPr>
        <w:spacing w:after="0" w:line="240" w:lineRule="auto"/>
        <w:ind w:right="-20"/>
        <w:rPr>
          <w:rFonts w:eastAsia="Times New Roman" w:cs="Times New Roman"/>
          <w:bCs/>
          <w:spacing w:val="-1"/>
        </w:rPr>
      </w:pPr>
      <w:r>
        <w:rPr>
          <w:rFonts w:eastAsia="Times New Roman" w:cs="Times New Roman"/>
          <w:bCs/>
          <w:spacing w:val="-1"/>
        </w:rPr>
        <w:t>Judgements:</w:t>
      </w:r>
    </w:p>
    <w:p w:rsidR="000B650F" w:rsidP="000B650F" w:rsidRDefault="00D83083">
      <w:pPr>
        <w:pStyle w:val="ListParagraph"/>
        <w:numPr>
          <w:ilvl w:val="0"/>
          <w:numId w:val="5"/>
        </w:numPr>
        <w:spacing w:after="0" w:line="240" w:lineRule="auto"/>
        <w:ind w:right="-20"/>
        <w:rPr>
          <w:rFonts w:eastAsia="Times New Roman" w:cs="Times New Roman"/>
          <w:bCs/>
          <w:spacing w:val="-1"/>
        </w:rPr>
      </w:pPr>
      <w:r>
        <w:rPr>
          <w:rFonts w:eastAsia="Times New Roman" w:cs="Times New Roman"/>
          <w:bCs/>
          <w:spacing w:val="-1"/>
        </w:rPr>
        <w:t xml:space="preserve">Grade 1: </w:t>
      </w:r>
      <w:r w:rsidR="000B650F">
        <w:rPr>
          <w:rFonts w:eastAsia="Times New Roman" w:cs="Times New Roman"/>
          <w:bCs/>
          <w:spacing w:val="-1"/>
        </w:rPr>
        <w:t>Outstanding</w:t>
      </w:r>
    </w:p>
    <w:p w:rsidR="000B650F" w:rsidP="000B650F" w:rsidRDefault="00D83083">
      <w:pPr>
        <w:pStyle w:val="ListParagraph"/>
        <w:numPr>
          <w:ilvl w:val="0"/>
          <w:numId w:val="5"/>
        </w:numPr>
        <w:spacing w:after="0" w:line="240" w:lineRule="auto"/>
        <w:ind w:right="-20"/>
        <w:rPr>
          <w:rFonts w:eastAsia="Times New Roman" w:cs="Times New Roman"/>
          <w:bCs/>
          <w:spacing w:val="-1"/>
        </w:rPr>
      </w:pPr>
      <w:r>
        <w:rPr>
          <w:rFonts w:eastAsia="Times New Roman" w:cs="Times New Roman"/>
          <w:bCs/>
          <w:spacing w:val="-1"/>
        </w:rPr>
        <w:t xml:space="preserve">Grade 2: </w:t>
      </w:r>
      <w:r w:rsidR="000B650F">
        <w:rPr>
          <w:rFonts w:eastAsia="Times New Roman" w:cs="Times New Roman"/>
          <w:bCs/>
          <w:spacing w:val="-1"/>
        </w:rPr>
        <w:t>Good</w:t>
      </w:r>
    </w:p>
    <w:p w:rsidR="000B650F" w:rsidP="000B650F" w:rsidRDefault="00D83083">
      <w:pPr>
        <w:pStyle w:val="ListParagraph"/>
        <w:numPr>
          <w:ilvl w:val="0"/>
          <w:numId w:val="5"/>
        </w:numPr>
        <w:spacing w:after="0" w:line="240" w:lineRule="auto"/>
        <w:ind w:right="-20"/>
        <w:rPr>
          <w:rFonts w:eastAsia="Times New Roman" w:cs="Times New Roman"/>
          <w:bCs/>
          <w:spacing w:val="-1"/>
        </w:rPr>
      </w:pPr>
      <w:r>
        <w:rPr>
          <w:rFonts w:eastAsia="Times New Roman" w:cs="Times New Roman"/>
          <w:bCs/>
          <w:spacing w:val="-1"/>
        </w:rPr>
        <w:t xml:space="preserve">Grade 3: </w:t>
      </w:r>
      <w:r w:rsidR="000B650F">
        <w:rPr>
          <w:rFonts w:eastAsia="Times New Roman" w:cs="Times New Roman"/>
          <w:bCs/>
          <w:spacing w:val="-1"/>
        </w:rPr>
        <w:t>Requires improvement</w:t>
      </w:r>
    </w:p>
    <w:p w:rsidRPr="000B650F" w:rsidR="000B650F" w:rsidP="000B650F" w:rsidRDefault="00D83083">
      <w:pPr>
        <w:pStyle w:val="ListParagraph"/>
        <w:numPr>
          <w:ilvl w:val="0"/>
          <w:numId w:val="5"/>
        </w:numPr>
        <w:spacing w:after="0" w:line="240" w:lineRule="auto"/>
        <w:ind w:right="-20"/>
        <w:rPr>
          <w:rFonts w:eastAsia="Times New Roman" w:cs="Times New Roman"/>
          <w:bCs/>
          <w:spacing w:val="-1"/>
        </w:rPr>
      </w:pPr>
      <w:r>
        <w:rPr>
          <w:rFonts w:eastAsia="Times New Roman" w:cs="Times New Roman"/>
          <w:bCs/>
          <w:spacing w:val="-1"/>
        </w:rPr>
        <w:t xml:space="preserve">Grade 4: </w:t>
      </w:r>
      <w:r w:rsidR="000B650F">
        <w:rPr>
          <w:rFonts w:eastAsia="Times New Roman" w:cs="Times New Roman"/>
          <w:bCs/>
          <w:spacing w:val="-1"/>
        </w:rPr>
        <w:t>Inadequate</w:t>
      </w:r>
    </w:p>
    <w:p w:rsidRPr="00CA1C07" w:rsidR="000B650F" w:rsidP="006C1910" w:rsidRDefault="000B650F">
      <w:pPr>
        <w:spacing w:after="0" w:line="240" w:lineRule="auto"/>
        <w:ind w:right="-20"/>
        <w:rPr>
          <w:rFonts w:eastAsia="Times New Roman" w:cs="Times New Roman"/>
          <w:bCs/>
          <w:color w:val="44546A" w:themeColor="text2"/>
          <w:spacing w:val="-1"/>
          <w:sz w:val="24"/>
          <w:szCs w:val="24"/>
        </w:rPr>
      </w:pPr>
    </w:p>
    <w:p w:rsidRPr="00A860EB" w:rsidR="006C1910" w:rsidP="006C1910" w:rsidRDefault="006C1910">
      <w:pPr>
        <w:spacing w:after="0" w:line="240" w:lineRule="auto"/>
        <w:ind w:right="-20"/>
        <w:rPr>
          <w:rFonts w:eastAsia="Times New Roman" w:cs="Times New Roman"/>
          <w:b/>
          <w:bCs/>
          <w:color w:val="44546A" w:themeColor="text2"/>
          <w:spacing w:val="-1"/>
          <w:sz w:val="24"/>
          <w:szCs w:val="24"/>
        </w:rPr>
      </w:pPr>
      <w:r>
        <w:rPr>
          <w:rFonts w:eastAsia="Times New Roman" w:cs="Times New Roman"/>
          <w:b/>
          <w:bCs/>
          <w:color w:val="44546A" w:themeColor="text2"/>
          <w:spacing w:val="-1"/>
          <w:sz w:val="24"/>
          <w:szCs w:val="24"/>
        </w:rPr>
        <w:t>Short inspection</w:t>
      </w:r>
    </w:p>
    <w:p w:rsidRPr="009C5CC6" w:rsidR="009C5CC6" w:rsidP="006F6C92" w:rsidRDefault="00666D24">
      <w:r>
        <w:t>S</w:t>
      </w:r>
      <w:r w:rsidR="006F6C92">
        <w:t>hort inspections</w:t>
      </w:r>
      <w:r>
        <w:t xml:space="preserve"> are normally used where a provider has previously been judged as good at their previous inspect</w:t>
      </w:r>
      <w:r w:rsidR="00257B99">
        <w:t>ion, and will take place within 5 years of the publication of the previous inspection report.  Normally the university will receive two working days’ notice of short inspection and the inspection will last 1-2 days.</w:t>
      </w:r>
    </w:p>
    <w:p w:rsidR="009C5CC6" w:rsidP="009C5CC6" w:rsidRDefault="009C5CC6">
      <w:pPr>
        <w:spacing w:after="0"/>
      </w:pPr>
      <w:r w:rsidRPr="009C5CC6">
        <w:t>Areas of focus</w:t>
      </w:r>
      <w:r>
        <w:t>:</w:t>
      </w:r>
    </w:p>
    <w:p w:rsidR="009C5CC6" w:rsidP="009C5CC6" w:rsidRDefault="009C5CC6">
      <w:pPr>
        <w:pStyle w:val="ListParagraph"/>
        <w:numPr>
          <w:ilvl w:val="0"/>
          <w:numId w:val="6"/>
        </w:numPr>
      </w:pPr>
      <w:r>
        <w:t>Quality of education</w:t>
      </w:r>
    </w:p>
    <w:p w:rsidR="00257B99" w:rsidP="00257B99" w:rsidRDefault="00257B99">
      <w:pPr>
        <w:pStyle w:val="ListParagraph"/>
        <w:numPr>
          <w:ilvl w:val="0"/>
          <w:numId w:val="6"/>
        </w:numPr>
      </w:pPr>
      <w:r>
        <w:t>Leadership and management</w:t>
      </w:r>
    </w:p>
    <w:p w:rsidR="009C5CC6" w:rsidP="009C5CC6" w:rsidRDefault="00257B99">
      <w:pPr>
        <w:pStyle w:val="ListParagraph"/>
        <w:numPr>
          <w:ilvl w:val="0"/>
          <w:numId w:val="6"/>
        </w:numPr>
      </w:pPr>
      <w:r>
        <w:t xml:space="preserve">Safeguarding </w:t>
      </w:r>
    </w:p>
    <w:p w:rsidR="00257B99" w:rsidP="009C5CC6" w:rsidRDefault="00257B99">
      <w:pPr>
        <w:pStyle w:val="ListParagraph"/>
        <w:numPr>
          <w:ilvl w:val="0"/>
          <w:numId w:val="6"/>
        </w:numPr>
      </w:pPr>
      <w:r>
        <w:t>Careers education and guidance (for students 16-18 and those up to 25 years old with an education, health and care (EHC) plan)</w:t>
      </w:r>
    </w:p>
    <w:p w:rsidR="009C5CC6" w:rsidP="006F6C92" w:rsidRDefault="009C5CC6">
      <w:r>
        <w:t xml:space="preserve">However the lead inspector will have some discretion to </w:t>
      </w:r>
      <w:r w:rsidR="00257B99">
        <w:t xml:space="preserve">focus on other areas, including issues arising from the previous inspection or which </w:t>
      </w:r>
    </w:p>
    <w:p w:rsidR="00257B99" w:rsidP="007F3DB1" w:rsidRDefault="009C5CC6">
      <w:pPr>
        <w:spacing w:after="0"/>
      </w:pPr>
      <w:r>
        <w:t>Judgements:</w:t>
      </w:r>
      <w:r w:rsidRPr="00257B99" w:rsidR="00257B99">
        <w:t xml:space="preserve"> </w:t>
      </w:r>
    </w:p>
    <w:p w:rsidR="009C5CC6" w:rsidP="007F3DB1" w:rsidRDefault="00257B99">
      <w:pPr>
        <w:spacing w:after="0"/>
      </w:pPr>
      <w:r>
        <w:t>Short inspections do not change a provider’s previous overall effectiveness grade</w:t>
      </w:r>
      <w:r w:rsidR="007F3DB1">
        <w:t>.</w:t>
      </w:r>
    </w:p>
    <w:p w:rsidR="009C5CC6" w:rsidP="009C5CC6" w:rsidRDefault="007F3DB1">
      <w:pPr>
        <w:pStyle w:val="ListParagraph"/>
        <w:numPr>
          <w:ilvl w:val="0"/>
          <w:numId w:val="7"/>
        </w:numPr>
      </w:pPr>
      <w:r>
        <w:t>Provider continues to be good</w:t>
      </w:r>
    </w:p>
    <w:p w:rsidR="007F3DB1" w:rsidP="009C5CC6" w:rsidRDefault="007F3DB1">
      <w:pPr>
        <w:pStyle w:val="ListParagraph"/>
        <w:numPr>
          <w:ilvl w:val="0"/>
          <w:numId w:val="7"/>
        </w:numPr>
      </w:pPr>
      <w:r>
        <w:t>Provider is at least good and may be outstanding – the short inspection will therefore be extended to a full inspection in order to view more evidence</w:t>
      </w:r>
    </w:p>
    <w:p w:rsidRPr="009C5CC6" w:rsidR="007F3DB1" w:rsidP="009C5CC6" w:rsidRDefault="007F3DB1">
      <w:pPr>
        <w:pStyle w:val="ListParagraph"/>
        <w:numPr>
          <w:ilvl w:val="0"/>
          <w:numId w:val="7"/>
        </w:numPr>
      </w:pPr>
      <w:r>
        <w:t>Inspection team has insufficient evidence that the provider remains good or they have concerns – the short inspection will therefore be extended to a full inspection in order to review more evidence.  A safeguarding concern will always result in a short inspection being extended to a full inspection.</w:t>
      </w:r>
    </w:p>
    <w:p w:rsidRPr="00A860EB" w:rsidR="006C1910" w:rsidP="006C1910" w:rsidRDefault="006F6C92">
      <w:pPr>
        <w:spacing w:after="0" w:line="240" w:lineRule="auto"/>
        <w:ind w:right="-20"/>
        <w:rPr>
          <w:rFonts w:eastAsia="Times New Roman" w:cs="Times New Roman"/>
          <w:b/>
          <w:bCs/>
          <w:color w:val="44546A" w:themeColor="text2"/>
          <w:spacing w:val="-1"/>
          <w:sz w:val="24"/>
          <w:szCs w:val="24"/>
        </w:rPr>
      </w:pPr>
      <w:r>
        <w:rPr>
          <w:rFonts w:eastAsia="Times New Roman" w:cs="Times New Roman"/>
          <w:b/>
          <w:bCs/>
          <w:color w:val="44546A" w:themeColor="text2"/>
          <w:spacing w:val="-1"/>
          <w:sz w:val="24"/>
          <w:szCs w:val="24"/>
        </w:rPr>
        <w:lastRenderedPageBreak/>
        <w:t>Re-inspection</w:t>
      </w:r>
    </w:p>
    <w:p w:rsidR="00A860EB" w:rsidP="008C25C3" w:rsidRDefault="009F5717">
      <w:pPr>
        <w:rPr>
          <w:rFonts w:eastAsia="Times New Roman" w:cs="Times New Roman"/>
          <w:b/>
          <w:bCs/>
          <w:color w:val="C00000"/>
          <w:spacing w:val="2"/>
          <w:sz w:val="28"/>
          <w:szCs w:val="28"/>
        </w:rPr>
      </w:pPr>
      <w:r>
        <w:t>Re-inspection monitoring visits</w:t>
      </w:r>
      <w:r w:rsidRPr="001C19A3" w:rsidR="006F6C92">
        <w:t xml:space="preserve"> </w:t>
      </w:r>
      <w:r>
        <w:t>take place where providers have been judged to be inadequate, unless their main funding has already been terminated and/or they have been removed from the Register of Apprenticeship Training Providers (RoATP) and deliver only apprenticeship provision.  A re-inspection visit will take place within six months of the publication of the previous inspection report, with a further visit within ten months of the publication of the previous report.  The focus will be on the main areas for improvement identified in the inspection report.</w:t>
      </w:r>
    </w:p>
    <w:p w:rsidR="00D83083" w:rsidP="00D83083" w:rsidRDefault="00D83083">
      <w:r>
        <w:rPr>
          <w:rFonts w:eastAsia="Times New Roman" w:cs="Times New Roman"/>
          <w:b/>
          <w:bCs/>
          <w:color w:val="C00000"/>
          <w:spacing w:val="2"/>
          <w:sz w:val="28"/>
          <w:szCs w:val="28"/>
        </w:rPr>
        <w:t>Full inspection: types of provision</w:t>
      </w:r>
    </w:p>
    <w:p w:rsidR="00D83083" w:rsidP="00D83083" w:rsidRDefault="00D83083">
      <w:r>
        <w:t>For full inspection the following types of provision will be graded and reported on:</w:t>
      </w:r>
    </w:p>
    <w:p w:rsidRPr="002418CE" w:rsidR="00D83083" w:rsidP="00D83083" w:rsidRDefault="00D83083">
      <w:pPr>
        <w:pStyle w:val="ListParagraph"/>
        <w:numPr>
          <w:ilvl w:val="0"/>
          <w:numId w:val="8"/>
        </w:numPr>
        <w:spacing w:after="0" w:line="240" w:lineRule="auto"/>
        <w:ind w:right="-20"/>
        <w:rPr>
          <w:rFonts w:eastAsia="Times New Roman" w:cs="Times New Roman"/>
          <w:bCs/>
          <w:spacing w:val="-1"/>
        </w:rPr>
      </w:pPr>
      <w:r w:rsidRPr="002418CE">
        <w:rPr>
          <w:rFonts w:eastAsia="Times New Roman" w:cs="Times New Roman"/>
          <w:bCs/>
          <w:spacing w:val="-1"/>
        </w:rPr>
        <w:t>Education programmes for young people (ESFA funded 16-18 classroom based)</w:t>
      </w:r>
    </w:p>
    <w:p w:rsidRPr="002418CE" w:rsidR="00D83083" w:rsidP="00D83083" w:rsidRDefault="00D83083">
      <w:pPr>
        <w:pStyle w:val="ListParagraph"/>
        <w:numPr>
          <w:ilvl w:val="0"/>
          <w:numId w:val="8"/>
        </w:numPr>
        <w:spacing w:after="0" w:line="240" w:lineRule="auto"/>
        <w:ind w:right="-20"/>
        <w:rPr>
          <w:rFonts w:eastAsia="Times New Roman" w:cs="Times New Roman"/>
          <w:bCs/>
          <w:spacing w:val="-1"/>
        </w:rPr>
      </w:pPr>
      <w:r w:rsidRPr="002418CE">
        <w:rPr>
          <w:rFonts w:eastAsia="Times New Roman" w:cs="Times New Roman"/>
          <w:bCs/>
          <w:spacing w:val="-1"/>
        </w:rPr>
        <w:t>Adult learning programmes</w:t>
      </w:r>
    </w:p>
    <w:p w:rsidRPr="002418CE" w:rsidR="00D83083" w:rsidP="00D83083" w:rsidRDefault="00D83083">
      <w:pPr>
        <w:pStyle w:val="ListParagraph"/>
        <w:numPr>
          <w:ilvl w:val="0"/>
          <w:numId w:val="8"/>
        </w:numPr>
        <w:spacing w:after="0" w:line="240" w:lineRule="auto"/>
        <w:ind w:right="-20"/>
        <w:rPr>
          <w:rFonts w:eastAsia="Times New Roman" w:cs="Times New Roman"/>
          <w:bCs/>
          <w:spacing w:val="-1"/>
        </w:rPr>
      </w:pPr>
      <w:r w:rsidRPr="002418CE">
        <w:rPr>
          <w:rFonts w:eastAsia="Times New Roman" w:cs="Times New Roman"/>
          <w:bCs/>
          <w:spacing w:val="-1"/>
        </w:rPr>
        <w:t>Apprenticeships</w:t>
      </w:r>
      <w:r>
        <w:rPr>
          <w:rFonts w:eastAsia="Times New Roman" w:cs="Times New Roman"/>
          <w:bCs/>
          <w:spacing w:val="-1"/>
        </w:rPr>
        <w:t xml:space="preserve"> at levels 2-5 funded by the ESFA and/or through the apprenticeship levy</w:t>
      </w:r>
    </w:p>
    <w:p w:rsidR="00D83083" w:rsidP="00D83083" w:rsidRDefault="00D83083">
      <w:pPr>
        <w:pStyle w:val="ListParagraph"/>
        <w:numPr>
          <w:ilvl w:val="0"/>
          <w:numId w:val="8"/>
        </w:numPr>
        <w:spacing w:after="0" w:line="240" w:lineRule="auto"/>
        <w:ind w:right="-20"/>
        <w:rPr>
          <w:rFonts w:eastAsia="Times New Roman" w:cs="Times New Roman"/>
          <w:bCs/>
          <w:spacing w:val="-1"/>
        </w:rPr>
      </w:pPr>
      <w:r w:rsidRPr="002418CE">
        <w:rPr>
          <w:rFonts w:eastAsia="Times New Roman" w:cs="Times New Roman"/>
          <w:bCs/>
          <w:spacing w:val="-1"/>
        </w:rPr>
        <w:t>Provis</w:t>
      </w:r>
      <w:r>
        <w:rPr>
          <w:rFonts w:eastAsia="Times New Roman" w:cs="Times New Roman"/>
          <w:bCs/>
          <w:spacing w:val="-1"/>
        </w:rPr>
        <w:t xml:space="preserve">ion for learners who receive high needs funding (learners up to age 24 may be eligible for this funding).  </w:t>
      </w:r>
    </w:p>
    <w:p w:rsidR="00D83083" w:rsidP="00D83083" w:rsidRDefault="00D83083">
      <w:pPr>
        <w:spacing w:after="0" w:line="240" w:lineRule="auto"/>
        <w:ind w:right="-20"/>
        <w:rPr>
          <w:rFonts w:eastAsia="Times New Roman" w:cs="Times New Roman"/>
          <w:bCs/>
          <w:spacing w:val="-1"/>
        </w:rPr>
      </w:pPr>
    </w:p>
    <w:p w:rsidR="00D83083" w:rsidP="00D83083" w:rsidRDefault="00D83083">
      <w:pPr>
        <w:spacing w:after="0" w:line="240" w:lineRule="auto"/>
        <w:ind w:right="-20"/>
        <w:rPr>
          <w:rFonts w:eastAsia="Times New Roman" w:cs="Times New Roman"/>
          <w:bCs/>
          <w:spacing w:val="-1"/>
        </w:rPr>
      </w:pPr>
      <w:r>
        <w:rPr>
          <w:rFonts w:eastAsia="Times New Roman" w:cs="Times New Roman"/>
          <w:bCs/>
          <w:spacing w:val="-1"/>
        </w:rPr>
        <w:t>In addition the quality of provision for learners with high needs and special educational needs/disabilities (SEND) will always be considered during the inspection of any kind of provision.</w:t>
      </w:r>
    </w:p>
    <w:p w:rsidR="00D83083" w:rsidP="00D83083" w:rsidRDefault="00D83083">
      <w:pPr>
        <w:spacing w:after="0" w:line="240" w:lineRule="auto"/>
        <w:ind w:right="-20"/>
        <w:rPr>
          <w:rFonts w:eastAsia="Times New Roman" w:cs="Times New Roman"/>
          <w:bCs/>
          <w:spacing w:val="-1"/>
        </w:rPr>
      </w:pPr>
    </w:p>
    <w:p w:rsidR="00D83083" w:rsidP="00D83083" w:rsidRDefault="00D83083">
      <w:pPr>
        <w:spacing w:after="0" w:line="240" w:lineRule="auto"/>
        <w:ind w:right="-20"/>
        <w:rPr>
          <w:rFonts w:eastAsia="Times New Roman" w:cs="Times New Roman"/>
          <w:bCs/>
          <w:spacing w:val="-1"/>
        </w:rPr>
      </w:pPr>
      <w:r>
        <w:rPr>
          <w:rFonts w:eastAsia="Times New Roman" w:cs="Times New Roman"/>
          <w:bCs/>
          <w:spacing w:val="-1"/>
        </w:rPr>
        <w:t>Subject areas will not be graded or reported on separately, although inspectors may use their subject expertise to contribute to the evidence base for types of provision and key judgements.</w:t>
      </w:r>
    </w:p>
    <w:p w:rsidR="00A860EB" w:rsidP="008C25C3" w:rsidRDefault="00A860EB">
      <w:pPr>
        <w:rPr>
          <w:rFonts w:eastAsia="Times New Roman" w:cs="Times New Roman"/>
          <w:b/>
          <w:bCs/>
          <w:color w:val="C00000"/>
          <w:spacing w:val="2"/>
          <w:sz w:val="28"/>
          <w:szCs w:val="28"/>
        </w:rPr>
      </w:pPr>
    </w:p>
    <w:p w:rsidR="00857774" w:rsidP="008C25C3" w:rsidRDefault="00D83083">
      <w:pPr>
        <w:rPr>
          <w:rFonts w:eastAsia="Times New Roman" w:cs="Times New Roman"/>
          <w:b/>
          <w:bCs/>
          <w:color w:val="C00000"/>
          <w:spacing w:val="2"/>
          <w:sz w:val="28"/>
          <w:szCs w:val="28"/>
        </w:rPr>
      </w:pPr>
      <w:r>
        <w:rPr>
          <w:rFonts w:eastAsia="Times New Roman" w:cs="Times New Roman"/>
          <w:b/>
          <w:bCs/>
          <w:color w:val="C00000"/>
          <w:spacing w:val="2"/>
          <w:sz w:val="28"/>
          <w:szCs w:val="28"/>
        </w:rPr>
        <w:t>Full inspection: j</w:t>
      </w:r>
      <w:r w:rsidR="00857774">
        <w:rPr>
          <w:rFonts w:eastAsia="Times New Roman" w:cs="Times New Roman"/>
          <w:b/>
          <w:bCs/>
          <w:color w:val="C00000"/>
          <w:spacing w:val="2"/>
          <w:sz w:val="28"/>
          <w:szCs w:val="28"/>
        </w:rPr>
        <w:t>udgement areas</w:t>
      </w:r>
    </w:p>
    <w:p w:rsidR="002418CE" w:rsidP="006F6C92" w:rsidRDefault="009F5717">
      <w:pPr>
        <w:spacing w:after="0" w:line="240" w:lineRule="auto"/>
        <w:ind w:right="-20"/>
        <w:rPr>
          <w:rFonts w:eastAsia="Times New Roman" w:cs="Times New Roman"/>
          <w:bCs/>
          <w:spacing w:val="-1"/>
        </w:rPr>
      </w:pPr>
      <w:r>
        <w:rPr>
          <w:rFonts w:eastAsia="Times New Roman" w:cs="Times New Roman"/>
          <w:bCs/>
          <w:spacing w:val="-1"/>
        </w:rPr>
        <w:t xml:space="preserve">For full inspection </w:t>
      </w:r>
      <w:r w:rsidR="002418CE">
        <w:rPr>
          <w:rFonts w:eastAsia="Times New Roman" w:cs="Times New Roman"/>
          <w:bCs/>
          <w:spacing w:val="-1"/>
        </w:rPr>
        <w:t>judgements will be made on the following:</w:t>
      </w:r>
    </w:p>
    <w:p w:rsidR="002418CE" w:rsidP="006F6C92" w:rsidRDefault="002418CE">
      <w:pPr>
        <w:spacing w:after="0" w:line="240" w:lineRule="auto"/>
        <w:ind w:right="-20"/>
        <w:rPr>
          <w:rFonts w:eastAsia="Times New Roman" w:cs="Times New Roman"/>
          <w:b/>
          <w:bCs/>
          <w:color w:val="44546A" w:themeColor="text2"/>
          <w:spacing w:val="-1"/>
          <w:sz w:val="24"/>
          <w:szCs w:val="24"/>
        </w:rPr>
      </w:pPr>
    </w:p>
    <w:p w:rsidR="006F6C92" w:rsidP="006F6C92" w:rsidRDefault="006F6C92">
      <w:pPr>
        <w:spacing w:after="0" w:line="240" w:lineRule="auto"/>
        <w:ind w:right="-20"/>
        <w:rPr>
          <w:rFonts w:eastAsia="Times New Roman" w:cs="Times New Roman"/>
          <w:b/>
          <w:bCs/>
          <w:color w:val="44546A" w:themeColor="text2"/>
          <w:spacing w:val="-1"/>
          <w:sz w:val="24"/>
          <w:szCs w:val="24"/>
        </w:rPr>
      </w:pPr>
      <w:r>
        <w:rPr>
          <w:rFonts w:eastAsia="Times New Roman" w:cs="Times New Roman"/>
          <w:b/>
          <w:bCs/>
          <w:color w:val="44546A" w:themeColor="text2"/>
          <w:spacing w:val="-1"/>
          <w:sz w:val="24"/>
          <w:szCs w:val="24"/>
        </w:rPr>
        <w:t>Overall effectiveness</w:t>
      </w:r>
    </w:p>
    <w:p w:rsidR="00D83083" w:rsidP="006F6C92" w:rsidRDefault="00D83083">
      <w:pPr>
        <w:spacing w:after="0" w:line="240" w:lineRule="auto"/>
        <w:ind w:right="-20"/>
        <w:rPr>
          <w:rFonts w:eastAsia="Times New Roman" w:cs="Times New Roman"/>
          <w:bCs/>
          <w:spacing w:val="-1"/>
        </w:rPr>
      </w:pPr>
      <w:r>
        <w:rPr>
          <w:rFonts w:eastAsia="Times New Roman" w:cs="Times New Roman"/>
          <w:bCs/>
          <w:spacing w:val="-1"/>
        </w:rPr>
        <w:t xml:space="preserve">This will be based on the effectiveness judgement for each type of provision inspected </w:t>
      </w:r>
      <w:r w:rsidR="004C593F">
        <w:rPr>
          <w:rFonts w:eastAsia="Times New Roman" w:cs="Times New Roman"/>
          <w:bCs/>
          <w:spacing w:val="-1"/>
        </w:rPr>
        <w:t xml:space="preserve">(above) </w:t>
      </w:r>
      <w:r>
        <w:rPr>
          <w:rFonts w:eastAsia="Times New Roman" w:cs="Times New Roman"/>
          <w:bCs/>
          <w:spacing w:val="-1"/>
        </w:rPr>
        <w:t>and the four key judgement areas (below).  It will also include a written judgement about effectiveness of safeguarding arrangements.  Inspectors will evaluate the extent to which the education and training meets the needs</w:t>
      </w:r>
      <w:r w:rsidR="004C593F">
        <w:rPr>
          <w:rFonts w:eastAsia="Times New Roman" w:cs="Times New Roman"/>
          <w:bCs/>
          <w:spacing w:val="-1"/>
        </w:rPr>
        <w:t xml:space="preserve"> of all learner</w:t>
      </w:r>
      <w:r w:rsidR="0043049C">
        <w:rPr>
          <w:rFonts w:eastAsia="Times New Roman" w:cs="Times New Roman"/>
          <w:bCs/>
          <w:spacing w:val="-1"/>
        </w:rPr>
        <w:t>s</w:t>
      </w:r>
      <w:r w:rsidR="004C593F">
        <w:rPr>
          <w:rFonts w:eastAsia="Times New Roman" w:cs="Times New Roman"/>
          <w:bCs/>
          <w:spacing w:val="-1"/>
        </w:rPr>
        <w:t xml:space="preserve">, including those with </w:t>
      </w:r>
      <w:r>
        <w:rPr>
          <w:rFonts w:eastAsia="Times New Roman" w:cs="Times New Roman"/>
          <w:bCs/>
          <w:spacing w:val="-1"/>
        </w:rPr>
        <w:t xml:space="preserve">SEND </w:t>
      </w:r>
      <w:r w:rsidR="004C593F">
        <w:rPr>
          <w:rFonts w:eastAsia="Times New Roman" w:cs="Times New Roman"/>
          <w:bCs/>
          <w:spacing w:val="-1"/>
        </w:rPr>
        <w:t>and</w:t>
      </w:r>
      <w:r>
        <w:rPr>
          <w:rFonts w:eastAsia="Times New Roman" w:cs="Times New Roman"/>
          <w:bCs/>
          <w:spacing w:val="-1"/>
        </w:rPr>
        <w:t xml:space="preserve"> high needs.</w:t>
      </w:r>
    </w:p>
    <w:p w:rsidR="00D83083" w:rsidP="006F6C92" w:rsidRDefault="00D83083">
      <w:pPr>
        <w:spacing w:after="0" w:line="240" w:lineRule="auto"/>
        <w:ind w:right="-20"/>
        <w:rPr>
          <w:rFonts w:eastAsia="Times New Roman" w:cs="Times New Roman"/>
          <w:bCs/>
          <w:spacing w:val="-1"/>
        </w:rPr>
      </w:pPr>
    </w:p>
    <w:p w:rsidRPr="00D83083" w:rsidR="00D83083" w:rsidP="006F6C92" w:rsidRDefault="00D83083">
      <w:pPr>
        <w:spacing w:after="0" w:line="240" w:lineRule="auto"/>
        <w:ind w:right="-20"/>
        <w:rPr>
          <w:rFonts w:eastAsia="Times New Roman" w:cs="Times New Roman"/>
          <w:bCs/>
          <w:spacing w:val="-1"/>
        </w:rPr>
      </w:pPr>
      <w:r>
        <w:rPr>
          <w:rFonts w:eastAsia="Times New Roman" w:cs="Times New Roman"/>
          <w:bCs/>
          <w:spacing w:val="-1"/>
        </w:rPr>
        <w:t xml:space="preserve">In relation to apprenticeships, the inspectors will consider how well leaders and managers ensure that the apprenticeship curriculum </w:t>
      </w:r>
      <w:r w:rsidR="006F1B85">
        <w:rPr>
          <w:rFonts w:eastAsia="Times New Roman" w:cs="Times New Roman"/>
          <w:bCs/>
          <w:spacing w:val="-1"/>
        </w:rPr>
        <w:t>meets the principles and requirements of an apprenticeship.</w:t>
      </w:r>
    </w:p>
    <w:p w:rsidR="006F6C92" w:rsidP="006F6C92" w:rsidRDefault="006F6C92">
      <w:pPr>
        <w:spacing w:after="0" w:line="240" w:lineRule="auto"/>
        <w:ind w:right="-20"/>
        <w:rPr>
          <w:rFonts w:eastAsia="Times New Roman" w:cs="Times New Roman"/>
          <w:b/>
          <w:bCs/>
          <w:color w:val="44546A" w:themeColor="text2"/>
          <w:spacing w:val="-1"/>
          <w:sz w:val="24"/>
          <w:szCs w:val="24"/>
        </w:rPr>
      </w:pPr>
    </w:p>
    <w:p w:rsidR="006F6C92" w:rsidP="006F6C92" w:rsidRDefault="006F6C92">
      <w:pPr>
        <w:spacing w:after="0" w:line="240" w:lineRule="auto"/>
        <w:ind w:right="-20"/>
        <w:rPr>
          <w:rFonts w:eastAsia="Times New Roman" w:cs="Times New Roman"/>
          <w:b/>
          <w:bCs/>
          <w:color w:val="44546A" w:themeColor="text2"/>
          <w:spacing w:val="-1"/>
          <w:sz w:val="24"/>
          <w:szCs w:val="24"/>
        </w:rPr>
      </w:pPr>
      <w:r>
        <w:rPr>
          <w:rFonts w:eastAsia="Times New Roman" w:cs="Times New Roman"/>
          <w:b/>
          <w:bCs/>
          <w:color w:val="44546A" w:themeColor="text2"/>
          <w:spacing w:val="-1"/>
          <w:sz w:val="24"/>
          <w:szCs w:val="24"/>
        </w:rPr>
        <w:t>Leadership and management</w:t>
      </w:r>
    </w:p>
    <w:p w:rsidRPr="00D83083" w:rsidR="00D83083" w:rsidP="006F6C92" w:rsidRDefault="00B245C8">
      <w:pPr>
        <w:spacing w:after="0" w:line="240" w:lineRule="auto"/>
        <w:ind w:right="-20"/>
        <w:rPr>
          <w:rFonts w:eastAsia="Times New Roman" w:cs="Times New Roman"/>
          <w:bCs/>
          <w:spacing w:val="-1"/>
        </w:rPr>
      </w:pPr>
      <w:r>
        <w:rPr>
          <w:rFonts w:eastAsia="Times New Roman" w:cs="Times New Roman"/>
          <w:bCs/>
          <w:spacing w:val="-1"/>
        </w:rPr>
        <w:t xml:space="preserve">This judgement area will focus on how leadership and management ensure that the education and training delivered by the provider have a positive impact on all learners, including those with SEND and high needs.  Inspectors will consider whether those responsible for governance provide confident, strategic leadership and ensure the provider meets its statutory responsibilities.  </w:t>
      </w:r>
      <w:r w:rsidR="008D1E36">
        <w:rPr>
          <w:rFonts w:eastAsia="Times New Roman" w:cs="Times New Roman"/>
          <w:bCs/>
          <w:spacing w:val="-1"/>
        </w:rPr>
        <w:t>A k</w:t>
      </w:r>
      <w:r>
        <w:rPr>
          <w:rFonts w:eastAsia="Times New Roman" w:cs="Times New Roman"/>
          <w:bCs/>
          <w:spacing w:val="-1"/>
        </w:rPr>
        <w:t xml:space="preserve">ey </w:t>
      </w:r>
      <w:r w:rsidR="008D1E36">
        <w:rPr>
          <w:rFonts w:eastAsia="Times New Roman" w:cs="Times New Roman"/>
          <w:bCs/>
          <w:spacing w:val="-1"/>
        </w:rPr>
        <w:t>area</w:t>
      </w:r>
      <w:r>
        <w:rPr>
          <w:rFonts w:eastAsia="Times New Roman" w:cs="Times New Roman"/>
          <w:bCs/>
          <w:spacing w:val="-1"/>
        </w:rPr>
        <w:t xml:space="preserve"> of </w:t>
      </w:r>
      <w:r w:rsidR="008D1E36">
        <w:rPr>
          <w:rFonts w:eastAsia="Times New Roman" w:cs="Times New Roman"/>
          <w:bCs/>
          <w:spacing w:val="-1"/>
        </w:rPr>
        <w:t>focus is</w:t>
      </w:r>
      <w:r>
        <w:rPr>
          <w:rFonts w:eastAsia="Times New Roman" w:cs="Times New Roman"/>
          <w:bCs/>
          <w:spacing w:val="-1"/>
        </w:rPr>
        <w:t xml:space="preserve"> </w:t>
      </w:r>
      <w:r w:rsidR="008D1E36">
        <w:rPr>
          <w:rFonts w:eastAsia="Times New Roman" w:cs="Times New Roman"/>
          <w:bCs/>
          <w:spacing w:val="-1"/>
        </w:rPr>
        <w:t xml:space="preserve">safeguarding, including: </w:t>
      </w:r>
      <w:r w:rsidR="006C6ED5">
        <w:rPr>
          <w:rFonts w:eastAsia="Times New Roman" w:cs="Times New Roman"/>
          <w:bCs/>
          <w:spacing w:val="-1"/>
        </w:rPr>
        <w:t>processes to manage</w:t>
      </w:r>
      <w:r w:rsidR="008D1E36">
        <w:rPr>
          <w:rFonts w:eastAsia="Times New Roman" w:cs="Times New Roman"/>
          <w:bCs/>
          <w:spacing w:val="-1"/>
        </w:rPr>
        <w:t xml:space="preserve"> unsafe behaviours, bullying and discrimination; protection from radicalisation and extremism (Prevent).</w:t>
      </w:r>
    </w:p>
    <w:p w:rsidR="006F6C92" w:rsidP="006F6C92" w:rsidRDefault="006F6C92">
      <w:pPr>
        <w:spacing w:after="0" w:line="240" w:lineRule="auto"/>
        <w:ind w:right="-20"/>
        <w:rPr>
          <w:rFonts w:eastAsia="Times New Roman" w:cs="Times New Roman"/>
          <w:b/>
          <w:bCs/>
          <w:color w:val="44546A" w:themeColor="text2"/>
          <w:spacing w:val="-1"/>
          <w:sz w:val="24"/>
          <w:szCs w:val="24"/>
        </w:rPr>
      </w:pPr>
    </w:p>
    <w:p w:rsidRPr="00A860EB" w:rsidR="006F6C92" w:rsidP="006F6C92" w:rsidRDefault="006F6C92">
      <w:pPr>
        <w:spacing w:after="0" w:line="240" w:lineRule="auto"/>
        <w:ind w:right="-20"/>
        <w:rPr>
          <w:rFonts w:eastAsia="Times New Roman" w:cs="Times New Roman"/>
          <w:b/>
          <w:bCs/>
          <w:color w:val="44546A" w:themeColor="text2"/>
          <w:spacing w:val="-1"/>
          <w:sz w:val="24"/>
          <w:szCs w:val="24"/>
        </w:rPr>
      </w:pPr>
      <w:r>
        <w:rPr>
          <w:rFonts w:eastAsia="Times New Roman" w:cs="Times New Roman"/>
          <w:b/>
          <w:bCs/>
          <w:color w:val="44546A" w:themeColor="text2"/>
          <w:spacing w:val="-1"/>
          <w:sz w:val="24"/>
          <w:szCs w:val="24"/>
        </w:rPr>
        <w:t>Quality of education</w:t>
      </w:r>
    </w:p>
    <w:p w:rsidRPr="00AD10BE" w:rsidR="006F6C92" w:rsidP="00AD10BE" w:rsidRDefault="006F6C92">
      <w:r>
        <w:t>T</w:t>
      </w:r>
      <w:r w:rsidRPr="00223B17">
        <w:t>here</w:t>
      </w:r>
      <w:r>
        <w:t xml:space="preserve"> </w:t>
      </w:r>
      <w:r w:rsidR="0043049C">
        <w:t>is a</w:t>
      </w:r>
      <w:r>
        <w:t xml:space="preserve"> focus on how the provider has achieved their results, </w:t>
      </w:r>
      <w:r w:rsidR="0043049C">
        <w:t xml:space="preserve">as much as on </w:t>
      </w:r>
      <w:r>
        <w:t xml:space="preserve">the outcomes themselves.  This will test whether the results are due to a broad, rich curriculum with excellent teaching and assessment, or ‘teaching to the test’. </w:t>
      </w:r>
      <w:r w:rsidR="0043049C">
        <w:t xml:space="preserve"> Inspectors will consider the curriculum, teaching methods</w:t>
      </w:r>
      <w:r w:rsidR="006F1B85">
        <w:t>, assessment</w:t>
      </w:r>
      <w:r w:rsidR="0043049C">
        <w:t xml:space="preserve"> and </w:t>
      </w:r>
      <w:r w:rsidR="00E20EED">
        <w:t xml:space="preserve">outcomes and will evaluate these in terms of intent, implementation and </w:t>
      </w:r>
      <w:r w:rsidR="00E20EED">
        <w:lastRenderedPageBreak/>
        <w:t>impact.</w:t>
      </w:r>
      <w:r w:rsidR="00105221">
        <w:t xml:space="preserve"> Inspectors will also consider learners’ development and improvement in terms of English and mathematical skills.</w:t>
      </w:r>
    </w:p>
    <w:p w:rsidR="006F6C92" w:rsidP="006F6C92" w:rsidRDefault="006F6C92">
      <w:pPr>
        <w:spacing w:after="0" w:line="240" w:lineRule="auto"/>
        <w:ind w:right="-20"/>
        <w:rPr>
          <w:rFonts w:eastAsia="Times New Roman" w:cs="Times New Roman"/>
          <w:b/>
          <w:bCs/>
          <w:color w:val="44546A" w:themeColor="text2"/>
          <w:spacing w:val="-1"/>
          <w:sz w:val="24"/>
          <w:szCs w:val="24"/>
        </w:rPr>
      </w:pPr>
      <w:r>
        <w:rPr>
          <w:rFonts w:eastAsia="Times New Roman" w:cs="Times New Roman"/>
          <w:b/>
          <w:bCs/>
          <w:color w:val="44546A" w:themeColor="text2"/>
          <w:spacing w:val="-1"/>
          <w:sz w:val="24"/>
          <w:szCs w:val="24"/>
        </w:rPr>
        <w:t>Personal development</w:t>
      </w:r>
    </w:p>
    <w:p w:rsidRPr="00AD10BE" w:rsidR="006F6C92" w:rsidP="00AD10BE" w:rsidRDefault="002C1101">
      <w:r>
        <w:t>This judgement area focuses on the most significant dimensions of the personal development of learners, including, but not limited to: good citizenship; equality of opportunity; promoting inclusivity and understanding the protected characteristics; developing confidence and resilience; promoting good physical and mental health; effective careers advice.  Inspectors will look for evidence of the promotion of the British values of democracy, individual liberty the rule of law and mutual respect and tolerance. There will also be a focus on the range, quality and take-up of extra-curricular characteristics.</w:t>
      </w:r>
    </w:p>
    <w:p w:rsidRPr="00A860EB" w:rsidR="006F6C92" w:rsidP="006F6C92" w:rsidRDefault="006F6C92">
      <w:pPr>
        <w:spacing w:after="0" w:line="240" w:lineRule="auto"/>
        <w:ind w:right="-20"/>
        <w:rPr>
          <w:rFonts w:eastAsia="Times New Roman" w:cs="Times New Roman"/>
          <w:b/>
          <w:bCs/>
          <w:color w:val="44546A" w:themeColor="text2"/>
          <w:spacing w:val="-1"/>
          <w:sz w:val="24"/>
          <w:szCs w:val="24"/>
        </w:rPr>
      </w:pPr>
      <w:r>
        <w:rPr>
          <w:rFonts w:eastAsia="Times New Roman" w:cs="Times New Roman"/>
          <w:b/>
          <w:bCs/>
          <w:color w:val="44546A" w:themeColor="text2"/>
          <w:spacing w:val="-1"/>
          <w:sz w:val="24"/>
          <w:szCs w:val="24"/>
        </w:rPr>
        <w:t>Behaviour and attitudes</w:t>
      </w:r>
    </w:p>
    <w:p w:rsidR="006F6C92" w:rsidP="006F6C92" w:rsidRDefault="006F6C92">
      <w:r>
        <w:t xml:space="preserve">There </w:t>
      </w:r>
      <w:r w:rsidR="00E20EED">
        <w:t>is a</w:t>
      </w:r>
      <w:r>
        <w:t xml:space="preserve"> focus on </w:t>
      </w:r>
      <w:r w:rsidR="00E20EED">
        <w:t>how providers create a safe</w:t>
      </w:r>
      <w:r>
        <w:t xml:space="preserve"> environment in which learners are able to learn.  This will include </w:t>
      </w:r>
      <w:r w:rsidR="00E20EED">
        <w:t>evidence that</w:t>
      </w:r>
      <w:r>
        <w:t xml:space="preserve"> leaders and teachers have high expectations for learners and implement these consistently and fairly, </w:t>
      </w:r>
      <w:r w:rsidR="00E20EED">
        <w:t>and that</w:t>
      </w:r>
      <w:r>
        <w:t xml:space="preserve"> these are reflected in the behaviours and attitudes of learners.  </w:t>
      </w:r>
      <w:r w:rsidR="00784489">
        <w:t xml:space="preserve">Attendance and punctuality will be considered under this judgement area. </w:t>
      </w:r>
      <w:r>
        <w:t xml:space="preserve">There will be a particular focus on how effectively </w:t>
      </w:r>
      <w:r w:rsidR="00E20EED">
        <w:t xml:space="preserve">providers deal with bullying, </w:t>
      </w:r>
      <w:r>
        <w:t xml:space="preserve">harassment </w:t>
      </w:r>
      <w:r w:rsidR="00E20EED">
        <w:t>and discrimination against</w:t>
      </w:r>
      <w:r>
        <w:t xml:space="preserve"> learners and staff.</w:t>
      </w:r>
      <w:r w:rsidR="00E20EED">
        <w:t xml:space="preserve"> The learner and staff surveys used in inspection include questions about safeguarding, support and respect, and the results of these will be considered by the inspectors.</w:t>
      </w:r>
      <w:r w:rsidR="002C1101">
        <w:t xml:space="preserve">  </w:t>
      </w:r>
    </w:p>
    <w:p w:rsidR="006F6C92" w:rsidP="006F6C92" w:rsidRDefault="006F6C92">
      <w:pPr>
        <w:spacing w:after="0" w:line="240" w:lineRule="auto"/>
        <w:ind w:right="-20"/>
        <w:rPr>
          <w:rFonts w:eastAsia="Times New Roman" w:cs="Times New Roman"/>
          <w:b/>
          <w:bCs/>
          <w:color w:val="44546A" w:themeColor="text2"/>
          <w:spacing w:val="-1"/>
          <w:sz w:val="24"/>
          <w:szCs w:val="24"/>
        </w:rPr>
      </w:pPr>
    </w:p>
    <w:p w:rsidR="00D83083" w:rsidP="006F6C92" w:rsidRDefault="00D83083">
      <w:pPr>
        <w:spacing w:after="0" w:line="240" w:lineRule="auto"/>
        <w:ind w:right="-20"/>
        <w:rPr>
          <w:rFonts w:eastAsia="Times New Roman" w:cs="Times New Roman"/>
          <w:b/>
          <w:bCs/>
          <w:color w:val="44546A" w:themeColor="text2"/>
          <w:spacing w:val="-1"/>
          <w:sz w:val="24"/>
          <w:szCs w:val="24"/>
        </w:rPr>
      </w:pPr>
    </w:p>
    <w:p w:rsidR="00D83083" w:rsidP="006F6C92" w:rsidRDefault="00D83083">
      <w:pPr>
        <w:spacing w:after="0" w:line="240" w:lineRule="auto"/>
        <w:ind w:right="-20"/>
        <w:rPr>
          <w:rFonts w:eastAsia="Times New Roman" w:cs="Times New Roman"/>
          <w:b/>
          <w:bCs/>
          <w:color w:val="44546A" w:themeColor="text2"/>
          <w:spacing w:val="-1"/>
          <w:sz w:val="24"/>
          <w:szCs w:val="24"/>
        </w:rPr>
      </w:pPr>
    </w:p>
    <w:p w:rsidR="00D83083" w:rsidP="006F6C92" w:rsidRDefault="00D83083">
      <w:pPr>
        <w:spacing w:after="0" w:line="240" w:lineRule="auto"/>
        <w:ind w:right="-20"/>
        <w:rPr>
          <w:rFonts w:eastAsia="Times New Roman" w:cs="Times New Roman"/>
          <w:b/>
          <w:bCs/>
          <w:color w:val="44546A" w:themeColor="text2"/>
          <w:spacing w:val="-1"/>
          <w:sz w:val="24"/>
          <w:szCs w:val="24"/>
        </w:rPr>
      </w:pPr>
    </w:p>
    <w:p w:rsidR="00D83083" w:rsidP="006F6C92" w:rsidRDefault="00D83083">
      <w:pPr>
        <w:spacing w:after="0" w:line="240" w:lineRule="auto"/>
        <w:ind w:right="-20"/>
        <w:rPr>
          <w:rFonts w:eastAsia="Times New Roman" w:cs="Times New Roman"/>
          <w:b/>
          <w:bCs/>
          <w:color w:val="44546A" w:themeColor="text2"/>
          <w:spacing w:val="-1"/>
          <w:sz w:val="24"/>
          <w:szCs w:val="24"/>
        </w:rPr>
      </w:pPr>
    </w:p>
    <w:p w:rsidR="00D83083" w:rsidP="006F6C92" w:rsidRDefault="00D83083">
      <w:pPr>
        <w:spacing w:after="0" w:line="240" w:lineRule="auto"/>
        <w:ind w:right="-20"/>
        <w:rPr>
          <w:rFonts w:eastAsia="Times New Roman" w:cs="Times New Roman"/>
          <w:b/>
          <w:bCs/>
          <w:color w:val="44546A" w:themeColor="text2"/>
          <w:spacing w:val="-1"/>
          <w:sz w:val="24"/>
          <w:szCs w:val="24"/>
        </w:rPr>
      </w:pPr>
    </w:p>
    <w:p w:rsidR="00E20EED" w:rsidP="008C25C3" w:rsidRDefault="004C593F">
      <w:pPr>
        <w:rPr>
          <w:rFonts w:eastAsia="Times New Roman" w:cs="Times New Roman"/>
          <w:b/>
          <w:bCs/>
          <w:color w:val="C00000"/>
          <w:spacing w:val="2"/>
          <w:sz w:val="28"/>
          <w:szCs w:val="28"/>
        </w:rPr>
      </w:pPr>
      <w:r>
        <w:rPr>
          <w:rFonts w:eastAsia="Times New Roman" w:cs="Times New Roman"/>
          <w:b/>
          <w:bCs/>
          <w:color w:val="C00000"/>
          <w:spacing w:val="2"/>
          <w:sz w:val="28"/>
          <w:szCs w:val="28"/>
        </w:rPr>
        <w:t xml:space="preserve">               </w:t>
      </w:r>
    </w:p>
    <w:p w:rsidR="006C1910" w:rsidP="008C25C3" w:rsidRDefault="006C1910">
      <w:pPr>
        <w:rPr>
          <w:rFonts w:eastAsia="Times New Roman" w:cs="Times New Roman"/>
          <w:b/>
          <w:bCs/>
          <w:color w:val="C00000"/>
          <w:spacing w:val="2"/>
          <w:sz w:val="28"/>
          <w:szCs w:val="28"/>
        </w:rPr>
      </w:pPr>
    </w:p>
    <w:sectPr w:rsidR="006C19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080" w:rsidRDefault="00441080" w:rsidP="00857774">
      <w:pPr>
        <w:spacing w:after="0" w:line="240" w:lineRule="auto"/>
      </w:pPr>
      <w:r>
        <w:separator/>
      </w:r>
    </w:p>
  </w:endnote>
  <w:endnote w:type="continuationSeparator" w:id="0">
    <w:p w:rsidR="00441080" w:rsidRDefault="00441080" w:rsidP="0085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507509"/>
      <w:docPartObj>
        <w:docPartGallery w:val="Page Numbers (Bottom of Page)"/>
        <w:docPartUnique/>
      </w:docPartObj>
    </w:sdtPr>
    <w:sdtEndPr>
      <w:rPr>
        <w:noProof/>
      </w:rPr>
    </w:sdtEndPr>
    <w:sdtContent>
      <w:p w:rsidR="00857774" w:rsidRDefault="00857774">
        <w:pPr>
          <w:pStyle w:val="Footer"/>
          <w:jc w:val="right"/>
        </w:pPr>
        <w:r>
          <w:fldChar w:fldCharType="begin"/>
        </w:r>
        <w:r>
          <w:instrText xml:space="preserve"> PAGE   \* MERGEFORMAT </w:instrText>
        </w:r>
        <w:r>
          <w:fldChar w:fldCharType="separate"/>
        </w:r>
        <w:r w:rsidR="00AC2BD2">
          <w:rPr>
            <w:noProof/>
          </w:rPr>
          <w:t>1</w:t>
        </w:r>
        <w:r>
          <w:rPr>
            <w:noProof/>
          </w:rPr>
          <w:fldChar w:fldCharType="end"/>
        </w:r>
      </w:p>
    </w:sdtContent>
  </w:sdt>
  <w:p w:rsidR="00857774" w:rsidRPr="00857774" w:rsidRDefault="00857774">
    <w:pPr>
      <w:pStyle w:val="Footer"/>
      <w:rPr>
        <w:b/>
        <w:sz w:val="18"/>
        <w:szCs w:val="18"/>
      </w:rPr>
    </w:pPr>
    <w:r>
      <w:rPr>
        <w:b/>
        <w:sz w:val="18"/>
        <w:szCs w:val="18"/>
      </w:rPr>
      <w:t>Sally Lloyd, Department of Academic Quality, July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080" w:rsidRDefault="00441080" w:rsidP="00857774">
      <w:pPr>
        <w:spacing w:after="0" w:line="240" w:lineRule="auto"/>
      </w:pPr>
      <w:r>
        <w:separator/>
      </w:r>
    </w:p>
  </w:footnote>
  <w:footnote w:type="continuationSeparator" w:id="0">
    <w:p w:rsidR="00441080" w:rsidRDefault="00441080" w:rsidP="00857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627"/>
    <w:multiLevelType w:val="hybridMultilevel"/>
    <w:tmpl w:val="71E01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41307"/>
    <w:multiLevelType w:val="hybridMultilevel"/>
    <w:tmpl w:val="6372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623469"/>
    <w:multiLevelType w:val="hybridMultilevel"/>
    <w:tmpl w:val="9D3A2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82672"/>
    <w:multiLevelType w:val="hybridMultilevel"/>
    <w:tmpl w:val="42B2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364C7"/>
    <w:multiLevelType w:val="hybridMultilevel"/>
    <w:tmpl w:val="F5D6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80850"/>
    <w:multiLevelType w:val="hybridMultilevel"/>
    <w:tmpl w:val="177A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A3A2B"/>
    <w:multiLevelType w:val="hybridMultilevel"/>
    <w:tmpl w:val="ACBA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94774"/>
    <w:multiLevelType w:val="multilevel"/>
    <w:tmpl w:val="C99C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B44D9D"/>
    <w:multiLevelType w:val="hybridMultilevel"/>
    <w:tmpl w:val="8AF4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FA0F8D"/>
    <w:multiLevelType w:val="hybridMultilevel"/>
    <w:tmpl w:val="8AF2D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E9574D"/>
    <w:multiLevelType w:val="hybridMultilevel"/>
    <w:tmpl w:val="BA32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5"/>
  </w:num>
  <w:num w:numId="5">
    <w:abstractNumId w:val="8"/>
  </w:num>
  <w:num w:numId="6">
    <w:abstractNumId w:val="1"/>
  </w:num>
  <w:num w:numId="7">
    <w:abstractNumId w:val="6"/>
  </w:num>
  <w:num w:numId="8">
    <w:abstractNumId w:val="4"/>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ED"/>
    <w:rsid w:val="00003FCD"/>
    <w:rsid w:val="00014FF7"/>
    <w:rsid w:val="000330C6"/>
    <w:rsid w:val="0005481C"/>
    <w:rsid w:val="00054AE3"/>
    <w:rsid w:val="00054EB5"/>
    <w:rsid w:val="00084911"/>
    <w:rsid w:val="00085D24"/>
    <w:rsid w:val="00096471"/>
    <w:rsid w:val="00096FDA"/>
    <w:rsid w:val="000B5CD2"/>
    <w:rsid w:val="000B650F"/>
    <w:rsid w:val="000E0488"/>
    <w:rsid w:val="000F7D32"/>
    <w:rsid w:val="00105221"/>
    <w:rsid w:val="0010663E"/>
    <w:rsid w:val="00134829"/>
    <w:rsid w:val="001436FF"/>
    <w:rsid w:val="00176BC1"/>
    <w:rsid w:val="00182E54"/>
    <w:rsid w:val="001A2E7F"/>
    <w:rsid w:val="001A6FCD"/>
    <w:rsid w:val="001C19A3"/>
    <w:rsid w:val="001C2F30"/>
    <w:rsid w:val="001F63F3"/>
    <w:rsid w:val="001F6ED8"/>
    <w:rsid w:val="0020145E"/>
    <w:rsid w:val="00202C5F"/>
    <w:rsid w:val="002131CF"/>
    <w:rsid w:val="00222E82"/>
    <w:rsid w:val="00223B17"/>
    <w:rsid w:val="00227568"/>
    <w:rsid w:val="002418CE"/>
    <w:rsid w:val="0024541E"/>
    <w:rsid w:val="002552DB"/>
    <w:rsid w:val="00257B99"/>
    <w:rsid w:val="00271996"/>
    <w:rsid w:val="00280BC4"/>
    <w:rsid w:val="00282576"/>
    <w:rsid w:val="00287CD6"/>
    <w:rsid w:val="002A0676"/>
    <w:rsid w:val="002B08D4"/>
    <w:rsid w:val="002B3C67"/>
    <w:rsid w:val="002B6AD5"/>
    <w:rsid w:val="002C1101"/>
    <w:rsid w:val="002C4840"/>
    <w:rsid w:val="002C68E1"/>
    <w:rsid w:val="002E3E5A"/>
    <w:rsid w:val="002E6228"/>
    <w:rsid w:val="002F50B2"/>
    <w:rsid w:val="00327DED"/>
    <w:rsid w:val="00330851"/>
    <w:rsid w:val="00347129"/>
    <w:rsid w:val="00352DEE"/>
    <w:rsid w:val="003714D4"/>
    <w:rsid w:val="00375E72"/>
    <w:rsid w:val="003772F4"/>
    <w:rsid w:val="003B4573"/>
    <w:rsid w:val="003C5577"/>
    <w:rsid w:val="003D1247"/>
    <w:rsid w:val="00413EE6"/>
    <w:rsid w:val="00422BC3"/>
    <w:rsid w:val="0043049C"/>
    <w:rsid w:val="0043601E"/>
    <w:rsid w:val="00441080"/>
    <w:rsid w:val="00452680"/>
    <w:rsid w:val="00454154"/>
    <w:rsid w:val="00486296"/>
    <w:rsid w:val="0049601E"/>
    <w:rsid w:val="004A4F75"/>
    <w:rsid w:val="004C593F"/>
    <w:rsid w:val="004F1EDE"/>
    <w:rsid w:val="004F2A14"/>
    <w:rsid w:val="00507DA5"/>
    <w:rsid w:val="00526291"/>
    <w:rsid w:val="0052727D"/>
    <w:rsid w:val="0055449C"/>
    <w:rsid w:val="00572814"/>
    <w:rsid w:val="00595983"/>
    <w:rsid w:val="005A112B"/>
    <w:rsid w:val="005A3D19"/>
    <w:rsid w:val="005B4F26"/>
    <w:rsid w:val="005D1446"/>
    <w:rsid w:val="00606360"/>
    <w:rsid w:val="00610F49"/>
    <w:rsid w:val="00612A4E"/>
    <w:rsid w:val="00616FAF"/>
    <w:rsid w:val="006360FC"/>
    <w:rsid w:val="00637972"/>
    <w:rsid w:val="0064567A"/>
    <w:rsid w:val="00666D24"/>
    <w:rsid w:val="00671378"/>
    <w:rsid w:val="006916FF"/>
    <w:rsid w:val="00692ED9"/>
    <w:rsid w:val="0069437A"/>
    <w:rsid w:val="006B0CC7"/>
    <w:rsid w:val="006B0EBE"/>
    <w:rsid w:val="006C1910"/>
    <w:rsid w:val="006C6ED5"/>
    <w:rsid w:val="006C7A19"/>
    <w:rsid w:val="006E0D1D"/>
    <w:rsid w:val="006E251A"/>
    <w:rsid w:val="006F1B85"/>
    <w:rsid w:val="006F48ED"/>
    <w:rsid w:val="006F68B1"/>
    <w:rsid w:val="006F6C92"/>
    <w:rsid w:val="00700F88"/>
    <w:rsid w:val="007051CD"/>
    <w:rsid w:val="0072116D"/>
    <w:rsid w:val="007352AA"/>
    <w:rsid w:val="007566A5"/>
    <w:rsid w:val="007578E5"/>
    <w:rsid w:val="007636EB"/>
    <w:rsid w:val="00772F9C"/>
    <w:rsid w:val="00784489"/>
    <w:rsid w:val="0079206D"/>
    <w:rsid w:val="007B23BE"/>
    <w:rsid w:val="007B42F8"/>
    <w:rsid w:val="007C078E"/>
    <w:rsid w:val="007C24C1"/>
    <w:rsid w:val="007F3B64"/>
    <w:rsid w:val="007F3DB1"/>
    <w:rsid w:val="008016FA"/>
    <w:rsid w:val="00812916"/>
    <w:rsid w:val="008438E9"/>
    <w:rsid w:val="00845F78"/>
    <w:rsid w:val="00846832"/>
    <w:rsid w:val="00857774"/>
    <w:rsid w:val="008722C0"/>
    <w:rsid w:val="00895EA8"/>
    <w:rsid w:val="008B4E4E"/>
    <w:rsid w:val="008C25C3"/>
    <w:rsid w:val="008D1E36"/>
    <w:rsid w:val="008D3FDD"/>
    <w:rsid w:val="0090297E"/>
    <w:rsid w:val="00947958"/>
    <w:rsid w:val="009830D8"/>
    <w:rsid w:val="00986036"/>
    <w:rsid w:val="009910DD"/>
    <w:rsid w:val="009C5CC6"/>
    <w:rsid w:val="009C6455"/>
    <w:rsid w:val="009E7586"/>
    <w:rsid w:val="009F5717"/>
    <w:rsid w:val="00A12C4A"/>
    <w:rsid w:val="00A25F66"/>
    <w:rsid w:val="00A42CC6"/>
    <w:rsid w:val="00A860EB"/>
    <w:rsid w:val="00A971E8"/>
    <w:rsid w:val="00AA142B"/>
    <w:rsid w:val="00AA62C8"/>
    <w:rsid w:val="00AC2BD2"/>
    <w:rsid w:val="00AC7FB7"/>
    <w:rsid w:val="00AD10BE"/>
    <w:rsid w:val="00B10491"/>
    <w:rsid w:val="00B245C8"/>
    <w:rsid w:val="00B63285"/>
    <w:rsid w:val="00B72990"/>
    <w:rsid w:val="00BC0B7A"/>
    <w:rsid w:val="00BC717D"/>
    <w:rsid w:val="00BD1483"/>
    <w:rsid w:val="00BD5308"/>
    <w:rsid w:val="00BD7A7F"/>
    <w:rsid w:val="00C00447"/>
    <w:rsid w:val="00C03402"/>
    <w:rsid w:val="00C059AC"/>
    <w:rsid w:val="00C373C1"/>
    <w:rsid w:val="00C44A84"/>
    <w:rsid w:val="00C538AA"/>
    <w:rsid w:val="00C56EDF"/>
    <w:rsid w:val="00C722CB"/>
    <w:rsid w:val="00C8117E"/>
    <w:rsid w:val="00CA0629"/>
    <w:rsid w:val="00CA1C07"/>
    <w:rsid w:val="00CD3226"/>
    <w:rsid w:val="00CF02A9"/>
    <w:rsid w:val="00CF7896"/>
    <w:rsid w:val="00D45441"/>
    <w:rsid w:val="00D61525"/>
    <w:rsid w:val="00D65EA0"/>
    <w:rsid w:val="00D70E89"/>
    <w:rsid w:val="00D83083"/>
    <w:rsid w:val="00D9173B"/>
    <w:rsid w:val="00D96931"/>
    <w:rsid w:val="00DB3840"/>
    <w:rsid w:val="00DB55B3"/>
    <w:rsid w:val="00DC3578"/>
    <w:rsid w:val="00DC46BC"/>
    <w:rsid w:val="00DD00C6"/>
    <w:rsid w:val="00DF68E7"/>
    <w:rsid w:val="00E03292"/>
    <w:rsid w:val="00E20EED"/>
    <w:rsid w:val="00E26452"/>
    <w:rsid w:val="00E27B84"/>
    <w:rsid w:val="00E42D2D"/>
    <w:rsid w:val="00E616B0"/>
    <w:rsid w:val="00E62B47"/>
    <w:rsid w:val="00E62D83"/>
    <w:rsid w:val="00E6416D"/>
    <w:rsid w:val="00E85577"/>
    <w:rsid w:val="00EB0348"/>
    <w:rsid w:val="00EC48CE"/>
    <w:rsid w:val="00EC58F7"/>
    <w:rsid w:val="00ED78A2"/>
    <w:rsid w:val="00EE2100"/>
    <w:rsid w:val="00F07F20"/>
    <w:rsid w:val="00F17380"/>
    <w:rsid w:val="00F2115E"/>
    <w:rsid w:val="00F24F31"/>
    <w:rsid w:val="00F654BF"/>
    <w:rsid w:val="00F72A69"/>
    <w:rsid w:val="00F7432C"/>
    <w:rsid w:val="00F825C8"/>
    <w:rsid w:val="00F86826"/>
    <w:rsid w:val="00F90F0C"/>
    <w:rsid w:val="00FA1DF1"/>
    <w:rsid w:val="00FA219A"/>
    <w:rsid w:val="00FB3550"/>
    <w:rsid w:val="00FC4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4F105-EE42-44FE-B75C-09CF5311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D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0D1D"/>
    <w:rPr>
      <w:color w:val="0000FF"/>
      <w:u w:val="single"/>
    </w:rPr>
  </w:style>
  <w:style w:type="table" w:styleId="TableGrid">
    <w:name w:val="Table Grid"/>
    <w:basedOn w:val="TableNormal"/>
    <w:uiPriority w:val="39"/>
    <w:rsid w:val="004A4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 text - left"/>
    <w:basedOn w:val="Normal"/>
    <w:link w:val="Tabletext-leftChar"/>
    <w:qFormat/>
    <w:rsid w:val="00F86826"/>
    <w:pPr>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rsid w:val="00F86826"/>
    <w:rPr>
      <w:rFonts w:ascii="Tahoma" w:eastAsia="Times New Roman" w:hAnsi="Tahoma" w:cs="Times New Roman"/>
      <w:color w:val="000000"/>
      <w:szCs w:val="24"/>
    </w:rPr>
  </w:style>
  <w:style w:type="paragraph" w:styleId="Header">
    <w:name w:val="header"/>
    <w:basedOn w:val="Normal"/>
    <w:link w:val="HeaderChar"/>
    <w:uiPriority w:val="99"/>
    <w:unhideWhenUsed/>
    <w:rsid w:val="00857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774"/>
  </w:style>
  <w:style w:type="paragraph" w:styleId="Footer">
    <w:name w:val="footer"/>
    <w:basedOn w:val="Normal"/>
    <w:link w:val="FooterChar"/>
    <w:uiPriority w:val="99"/>
    <w:unhideWhenUsed/>
    <w:rsid w:val="00857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774"/>
  </w:style>
  <w:style w:type="paragraph" w:styleId="ListParagraph">
    <w:name w:val="List Paragraph"/>
    <w:basedOn w:val="Normal"/>
    <w:uiPriority w:val="34"/>
    <w:qFormat/>
    <w:rsid w:val="008438E9"/>
    <w:pPr>
      <w:ind w:left="720"/>
      <w:contextualSpacing/>
    </w:pPr>
  </w:style>
  <w:style w:type="character" w:styleId="FollowedHyperlink">
    <w:name w:val="FollowedHyperlink"/>
    <w:basedOn w:val="DefaultParagraphFont"/>
    <w:uiPriority w:val="99"/>
    <w:semiHidden/>
    <w:unhideWhenUsed/>
    <w:rsid w:val="00E64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7205">
      <w:bodyDiv w:val="1"/>
      <w:marLeft w:val="0"/>
      <w:marRight w:val="0"/>
      <w:marTop w:val="0"/>
      <w:marBottom w:val="0"/>
      <w:divBdr>
        <w:top w:val="none" w:sz="0" w:space="0" w:color="auto"/>
        <w:left w:val="none" w:sz="0" w:space="0" w:color="auto"/>
        <w:bottom w:val="none" w:sz="0" w:space="0" w:color="auto"/>
        <w:right w:val="none" w:sz="0" w:space="0" w:color="auto"/>
      </w:divBdr>
    </w:div>
    <w:div w:id="1001587862">
      <w:bodyDiv w:val="1"/>
      <w:marLeft w:val="0"/>
      <w:marRight w:val="0"/>
      <w:marTop w:val="0"/>
      <w:marBottom w:val="0"/>
      <w:divBdr>
        <w:top w:val="none" w:sz="0" w:space="0" w:color="auto"/>
        <w:left w:val="none" w:sz="0" w:space="0" w:color="auto"/>
        <w:bottom w:val="none" w:sz="0" w:space="0" w:color="auto"/>
        <w:right w:val="none" w:sz="0" w:space="0" w:color="auto"/>
      </w:divBdr>
    </w:div>
    <w:div w:id="1365669749">
      <w:bodyDiv w:val="1"/>
      <w:marLeft w:val="0"/>
      <w:marRight w:val="0"/>
      <w:marTop w:val="0"/>
      <w:marBottom w:val="0"/>
      <w:divBdr>
        <w:top w:val="none" w:sz="0" w:space="0" w:color="auto"/>
        <w:left w:val="none" w:sz="0" w:space="0" w:color="auto"/>
        <w:bottom w:val="none" w:sz="0" w:space="0" w:color="auto"/>
        <w:right w:val="none" w:sz="0" w:space="0" w:color="auto"/>
      </w:divBdr>
      <w:divsChild>
        <w:div w:id="75978286">
          <w:marLeft w:val="0"/>
          <w:marRight w:val="0"/>
          <w:marTop w:val="0"/>
          <w:marBottom w:val="0"/>
          <w:divBdr>
            <w:top w:val="none" w:sz="0" w:space="0" w:color="auto"/>
            <w:left w:val="none" w:sz="0" w:space="0" w:color="auto"/>
            <w:bottom w:val="none" w:sz="0" w:space="0" w:color="auto"/>
            <w:right w:val="none" w:sz="0" w:space="0" w:color="auto"/>
          </w:divBdr>
          <w:divsChild>
            <w:div w:id="253439206">
              <w:marLeft w:val="0"/>
              <w:marRight w:val="0"/>
              <w:marTop w:val="0"/>
              <w:marBottom w:val="0"/>
              <w:divBdr>
                <w:top w:val="none" w:sz="0" w:space="0" w:color="auto"/>
                <w:left w:val="none" w:sz="0" w:space="0" w:color="auto"/>
                <w:bottom w:val="none" w:sz="0" w:space="0" w:color="auto"/>
                <w:right w:val="none" w:sz="0" w:space="0" w:color="auto"/>
              </w:divBdr>
              <w:divsChild>
                <w:div w:id="972637409">
                  <w:marLeft w:val="0"/>
                  <w:marRight w:val="0"/>
                  <w:marTop w:val="0"/>
                  <w:marBottom w:val="0"/>
                  <w:divBdr>
                    <w:top w:val="none" w:sz="0" w:space="0" w:color="auto"/>
                    <w:left w:val="none" w:sz="0" w:space="0" w:color="auto"/>
                    <w:bottom w:val="none" w:sz="0" w:space="0" w:color="auto"/>
                    <w:right w:val="none" w:sz="0" w:space="0" w:color="auto"/>
                  </w:divBdr>
                  <w:divsChild>
                    <w:div w:id="838888664">
                      <w:marLeft w:val="0"/>
                      <w:marRight w:val="0"/>
                      <w:marTop w:val="0"/>
                      <w:marBottom w:val="0"/>
                      <w:divBdr>
                        <w:top w:val="none" w:sz="0" w:space="0" w:color="auto"/>
                        <w:left w:val="none" w:sz="0" w:space="0" w:color="auto"/>
                        <w:bottom w:val="none" w:sz="0" w:space="0" w:color="auto"/>
                        <w:right w:val="none" w:sz="0" w:space="0" w:color="auto"/>
                      </w:divBdr>
                      <w:divsChild>
                        <w:div w:id="1521698218">
                          <w:marLeft w:val="0"/>
                          <w:marRight w:val="0"/>
                          <w:marTop w:val="0"/>
                          <w:marBottom w:val="0"/>
                          <w:divBdr>
                            <w:top w:val="none" w:sz="0" w:space="0" w:color="auto"/>
                            <w:left w:val="none" w:sz="0" w:space="0" w:color="auto"/>
                            <w:bottom w:val="none" w:sz="0" w:space="0" w:color="auto"/>
                            <w:right w:val="none" w:sz="0" w:space="0" w:color="auto"/>
                          </w:divBdr>
                          <w:divsChild>
                            <w:div w:id="15886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270081">
      <w:bodyDiv w:val="1"/>
      <w:marLeft w:val="0"/>
      <w:marRight w:val="0"/>
      <w:marTop w:val="0"/>
      <w:marBottom w:val="0"/>
      <w:divBdr>
        <w:top w:val="none" w:sz="0" w:space="0" w:color="auto"/>
        <w:left w:val="none" w:sz="0" w:space="0" w:color="auto"/>
        <w:bottom w:val="none" w:sz="0" w:space="0" w:color="auto"/>
        <w:right w:val="none" w:sz="0" w:space="0" w:color="auto"/>
      </w:divBdr>
      <w:divsChild>
        <w:div w:id="598103876">
          <w:marLeft w:val="0"/>
          <w:marRight w:val="0"/>
          <w:marTop w:val="0"/>
          <w:marBottom w:val="0"/>
          <w:divBdr>
            <w:top w:val="none" w:sz="0" w:space="0" w:color="auto"/>
            <w:left w:val="none" w:sz="0" w:space="0" w:color="auto"/>
            <w:bottom w:val="none" w:sz="0" w:space="0" w:color="auto"/>
            <w:right w:val="none" w:sz="0" w:space="0" w:color="auto"/>
          </w:divBdr>
          <w:divsChild>
            <w:div w:id="1214123180">
              <w:marLeft w:val="0"/>
              <w:marRight w:val="0"/>
              <w:marTop w:val="0"/>
              <w:marBottom w:val="0"/>
              <w:divBdr>
                <w:top w:val="none" w:sz="0" w:space="0" w:color="auto"/>
                <w:left w:val="none" w:sz="0" w:space="0" w:color="auto"/>
                <w:bottom w:val="none" w:sz="0" w:space="0" w:color="auto"/>
                <w:right w:val="none" w:sz="0" w:space="0" w:color="auto"/>
              </w:divBdr>
              <w:divsChild>
                <w:div w:id="660160008">
                  <w:marLeft w:val="0"/>
                  <w:marRight w:val="0"/>
                  <w:marTop w:val="0"/>
                  <w:marBottom w:val="0"/>
                  <w:divBdr>
                    <w:top w:val="none" w:sz="0" w:space="0" w:color="auto"/>
                    <w:left w:val="none" w:sz="0" w:space="0" w:color="auto"/>
                    <w:bottom w:val="none" w:sz="0" w:space="0" w:color="auto"/>
                    <w:right w:val="none" w:sz="0" w:space="0" w:color="auto"/>
                  </w:divBdr>
                  <w:divsChild>
                    <w:div w:id="506527795">
                      <w:marLeft w:val="0"/>
                      <w:marRight w:val="0"/>
                      <w:marTop w:val="0"/>
                      <w:marBottom w:val="0"/>
                      <w:divBdr>
                        <w:top w:val="none" w:sz="0" w:space="0" w:color="auto"/>
                        <w:left w:val="none" w:sz="0" w:space="0" w:color="auto"/>
                        <w:bottom w:val="none" w:sz="0" w:space="0" w:color="auto"/>
                        <w:right w:val="none" w:sz="0" w:space="0" w:color="auto"/>
                      </w:divBdr>
                      <w:divsChild>
                        <w:div w:id="1901791867">
                          <w:marLeft w:val="0"/>
                          <w:marRight w:val="0"/>
                          <w:marTop w:val="0"/>
                          <w:marBottom w:val="0"/>
                          <w:divBdr>
                            <w:top w:val="none" w:sz="0" w:space="0" w:color="auto"/>
                            <w:left w:val="none" w:sz="0" w:space="0" w:color="auto"/>
                            <w:bottom w:val="none" w:sz="0" w:space="0" w:color="auto"/>
                            <w:right w:val="none" w:sz="0" w:space="0" w:color="auto"/>
                          </w:divBdr>
                          <w:divsChild>
                            <w:div w:id="1019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594620">
      <w:bodyDiv w:val="1"/>
      <w:marLeft w:val="0"/>
      <w:marRight w:val="0"/>
      <w:marTop w:val="0"/>
      <w:marBottom w:val="0"/>
      <w:divBdr>
        <w:top w:val="none" w:sz="0" w:space="0" w:color="auto"/>
        <w:left w:val="none" w:sz="0" w:space="0" w:color="auto"/>
        <w:bottom w:val="none" w:sz="0" w:space="0" w:color="auto"/>
        <w:right w:val="none" w:sz="0" w:space="0" w:color="auto"/>
      </w:divBdr>
      <w:divsChild>
        <w:div w:id="258029828">
          <w:marLeft w:val="0"/>
          <w:marRight w:val="0"/>
          <w:marTop w:val="0"/>
          <w:marBottom w:val="0"/>
          <w:divBdr>
            <w:top w:val="none" w:sz="0" w:space="0" w:color="auto"/>
            <w:left w:val="none" w:sz="0" w:space="0" w:color="auto"/>
            <w:bottom w:val="none" w:sz="0" w:space="0" w:color="auto"/>
            <w:right w:val="none" w:sz="0" w:space="0" w:color="auto"/>
          </w:divBdr>
          <w:divsChild>
            <w:div w:id="2005938543">
              <w:marLeft w:val="0"/>
              <w:marRight w:val="0"/>
              <w:marTop w:val="0"/>
              <w:marBottom w:val="0"/>
              <w:divBdr>
                <w:top w:val="none" w:sz="0" w:space="0" w:color="auto"/>
                <w:left w:val="none" w:sz="0" w:space="0" w:color="auto"/>
                <w:bottom w:val="none" w:sz="0" w:space="0" w:color="auto"/>
                <w:right w:val="none" w:sz="0" w:space="0" w:color="auto"/>
              </w:divBdr>
              <w:divsChild>
                <w:div w:id="1434014465">
                  <w:marLeft w:val="0"/>
                  <w:marRight w:val="0"/>
                  <w:marTop w:val="0"/>
                  <w:marBottom w:val="0"/>
                  <w:divBdr>
                    <w:top w:val="none" w:sz="0" w:space="0" w:color="auto"/>
                    <w:left w:val="none" w:sz="0" w:space="0" w:color="auto"/>
                    <w:bottom w:val="none" w:sz="0" w:space="0" w:color="auto"/>
                    <w:right w:val="none" w:sz="0" w:space="0" w:color="auto"/>
                  </w:divBdr>
                  <w:divsChild>
                    <w:div w:id="1113943347">
                      <w:marLeft w:val="0"/>
                      <w:marRight w:val="0"/>
                      <w:marTop w:val="0"/>
                      <w:marBottom w:val="0"/>
                      <w:divBdr>
                        <w:top w:val="none" w:sz="0" w:space="0" w:color="auto"/>
                        <w:left w:val="none" w:sz="0" w:space="0" w:color="auto"/>
                        <w:bottom w:val="none" w:sz="0" w:space="0" w:color="auto"/>
                        <w:right w:val="none" w:sz="0" w:space="0" w:color="auto"/>
                      </w:divBdr>
                      <w:divsChild>
                        <w:div w:id="291903852">
                          <w:marLeft w:val="0"/>
                          <w:marRight w:val="0"/>
                          <w:marTop w:val="0"/>
                          <w:marBottom w:val="0"/>
                          <w:divBdr>
                            <w:top w:val="none" w:sz="0" w:space="0" w:color="auto"/>
                            <w:left w:val="none" w:sz="0" w:space="0" w:color="auto"/>
                            <w:bottom w:val="none" w:sz="0" w:space="0" w:color="auto"/>
                            <w:right w:val="none" w:sz="0" w:space="0" w:color="auto"/>
                          </w:divBdr>
                          <w:divsChild>
                            <w:div w:id="1959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484287">
      <w:bodyDiv w:val="1"/>
      <w:marLeft w:val="0"/>
      <w:marRight w:val="0"/>
      <w:marTop w:val="0"/>
      <w:marBottom w:val="0"/>
      <w:divBdr>
        <w:top w:val="none" w:sz="0" w:space="0" w:color="auto"/>
        <w:left w:val="none" w:sz="0" w:space="0" w:color="auto"/>
        <w:bottom w:val="none" w:sz="0" w:space="0" w:color="auto"/>
        <w:right w:val="none" w:sz="0" w:space="0" w:color="auto"/>
      </w:divBdr>
      <w:divsChild>
        <w:div w:id="119811021">
          <w:marLeft w:val="0"/>
          <w:marRight w:val="0"/>
          <w:marTop w:val="0"/>
          <w:marBottom w:val="0"/>
          <w:divBdr>
            <w:top w:val="none" w:sz="0" w:space="0" w:color="auto"/>
            <w:left w:val="none" w:sz="0" w:space="0" w:color="auto"/>
            <w:bottom w:val="none" w:sz="0" w:space="0" w:color="auto"/>
            <w:right w:val="none" w:sz="0" w:space="0" w:color="auto"/>
          </w:divBdr>
          <w:divsChild>
            <w:div w:id="70853441">
              <w:marLeft w:val="0"/>
              <w:marRight w:val="0"/>
              <w:marTop w:val="0"/>
              <w:marBottom w:val="0"/>
              <w:divBdr>
                <w:top w:val="none" w:sz="0" w:space="0" w:color="auto"/>
                <w:left w:val="none" w:sz="0" w:space="0" w:color="auto"/>
                <w:bottom w:val="none" w:sz="0" w:space="0" w:color="auto"/>
                <w:right w:val="none" w:sz="0" w:space="0" w:color="auto"/>
              </w:divBdr>
              <w:divsChild>
                <w:div w:id="197476547">
                  <w:marLeft w:val="0"/>
                  <w:marRight w:val="0"/>
                  <w:marTop w:val="0"/>
                  <w:marBottom w:val="0"/>
                  <w:divBdr>
                    <w:top w:val="none" w:sz="0" w:space="0" w:color="auto"/>
                    <w:left w:val="none" w:sz="0" w:space="0" w:color="auto"/>
                    <w:bottom w:val="none" w:sz="0" w:space="0" w:color="auto"/>
                    <w:right w:val="none" w:sz="0" w:space="0" w:color="auto"/>
                  </w:divBdr>
                  <w:divsChild>
                    <w:div w:id="1287615193">
                      <w:marLeft w:val="0"/>
                      <w:marRight w:val="0"/>
                      <w:marTop w:val="0"/>
                      <w:marBottom w:val="0"/>
                      <w:divBdr>
                        <w:top w:val="none" w:sz="0" w:space="0" w:color="auto"/>
                        <w:left w:val="none" w:sz="0" w:space="0" w:color="auto"/>
                        <w:bottom w:val="none" w:sz="0" w:space="0" w:color="auto"/>
                        <w:right w:val="none" w:sz="0" w:space="0" w:color="auto"/>
                      </w:divBdr>
                      <w:divsChild>
                        <w:div w:id="231043532">
                          <w:marLeft w:val="0"/>
                          <w:marRight w:val="0"/>
                          <w:marTop w:val="0"/>
                          <w:marBottom w:val="0"/>
                          <w:divBdr>
                            <w:top w:val="none" w:sz="0" w:space="0" w:color="auto"/>
                            <w:left w:val="none" w:sz="0" w:space="0" w:color="auto"/>
                            <w:bottom w:val="none" w:sz="0" w:space="0" w:color="auto"/>
                            <w:right w:val="none" w:sz="0" w:space="0" w:color="auto"/>
                          </w:divBdr>
                          <w:divsChild>
                            <w:div w:id="5548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urther-education-and-skills-inspection-handbook-e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education-inspection-framew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800586/Inspecting_safeguarding_.pdf" TargetMode="External"/><Relationship Id="rId4" Type="http://schemas.openxmlformats.org/officeDocument/2006/relationships/webSettings" Target="webSettings.xml"/><Relationship Id="rId9" Type="http://schemas.openxmlformats.org/officeDocument/2006/relationships/hyperlink" Target="https://www.gov.uk/government/publications/inspecting-further-education-and-skills-leaflet-for-providers/full-inspections-of-further-education-and-skills-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8373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apprenticeship briefing paper</dc:title>
  <dc:subject>
  </dc:subject>
  <dc:creator>Sally Lloyd</dc:creator>
  <cp:keywords>
  </cp:keywords>
  <dc:description>
  </dc:description>
  <cp:lastModifiedBy>Gita Patel</cp:lastModifiedBy>
  <cp:revision>2</cp:revision>
  <dcterms:created xsi:type="dcterms:W3CDTF">2019-09-20T12:48:00Z</dcterms:created>
  <dcterms:modified xsi:type="dcterms:W3CDTF">2019-09-20T12:50:32Z</dcterms:modified>
</cp:coreProperties>
</file>