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93" w:rsidRDefault="008D472C">
      <w:pPr>
        <w:pStyle w:val="Heading1"/>
        <w:spacing w:before="32"/>
        <w:ind w:left="120"/>
      </w:pPr>
      <w:r>
        <w:t>DMU Safety Net Regulations</w:t>
      </w:r>
    </w:p>
    <w:p w:rsidR="00AF6D93" w:rsidRDefault="00AF6D93">
      <w:pPr>
        <w:pStyle w:val="BodyText"/>
        <w:spacing w:before="12"/>
        <w:ind w:left="0"/>
        <w:rPr>
          <w:b/>
          <w:sz w:val="23"/>
        </w:rPr>
      </w:pPr>
    </w:p>
    <w:p w:rsidR="00AF6D93" w:rsidRDefault="008D472C">
      <w:pPr>
        <w:spacing w:line="293" w:lineRule="exact"/>
        <w:ind w:left="119"/>
        <w:jc w:val="both"/>
        <w:rPr>
          <w:b/>
          <w:sz w:val="24"/>
        </w:rPr>
      </w:pPr>
      <w:r>
        <w:rPr>
          <w:b/>
          <w:sz w:val="24"/>
        </w:rPr>
        <w:t>Amendments to the Academic regulations for taught programmes, 2020/21</w:t>
      </w:r>
    </w:p>
    <w:p w:rsidR="00AF6D93" w:rsidRDefault="008D472C">
      <w:pPr>
        <w:pStyle w:val="Heading2"/>
        <w:ind w:left="120" w:firstLine="0"/>
        <w:jc w:val="both"/>
      </w:pPr>
      <w:r>
        <w:t>Approved for use from 11 February 2021</w:t>
      </w:r>
    </w:p>
    <w:p w:rsidR="00AF6D93" w:rsidRDefault="008D472C">
      <w:pPr>
        <w:pStyle w:val="ListParagraph"/>
        <w:numPr>
          <w:ilvl w:val="0"/>
          <w:numId w:val="2"/>
        </w:numPr>
        <w:tabs>
          <w:tab w:val="left" w:pos="829"/>
        </w:tabs>
        <w:jc w:val="both"/>
        <w:rPr>
          <w:b/>
        </w:rPr>
      </w:pPr>
      <w:r>
        <w:rPr>
          <w:b/>
        </w:rPr>
        <w:t>Exceptions</w:t>
      </w:r>
    </w:p>
    <w:p w:rsidR="00AF6D93" w:rsidRDefault="008D472C">
      <w:pPr>
        <w:pStyle w:val="ListParagraph"/>
        <w:numPr>
          <w:ilvl w:val="0"/>
          <w:numId w:val="1"/>
        </w:numPr>
        <w:tabs>
          <w:tab w:val="left" w:pos="828"/>
          <w:tab w:val="left" w:pos="829"/>
        </w:tabs>
        <w:ind w:right="139" w:hanging="721"/>
        <w:jc w:val="both"/>
      </w:pPr>
      <w:r>
        <w:t>It is noted that some of these regulations might not be appropriate for all programmes, such as those regulated by PSRBs. Where this is the case, students will be given clear information about which regulations will be</w:t>
      </w:r>
      <w:r>
        <w:rPr>
          <w:spacing w:val="-2"/>
        </w:rPr>
        <w:t xml:space="preserve"> </w:t>
      </w:r>
      <w:r>
        <w:t>used.</w:t>
      </w:r>
    </w:p>
    <w:p w:rsidR="00AF6D93" w:rsidRDefault="00AF6D93">
      <w:pPr>
        <w:pStyle w:val="BodyText"/>
        <w:spacing w:before="11"/>
        <w:ind w:left="0"/>
        <w:rPr>
          <w:sz w:val="31"/>
        </w:rPr>
      </w:pPr>
    </w:p>
    <w:p w:rsidR="00AF6D93" w:rsidRDefault="008D472C">
      <w:pPr>
        <w:pStyle w:val="Heading2"/>
        <w:numPr>
          <w:ilvl w:val="0"/>
          <w:numId w:val="2"/>
        </w:numPr>
        <w:tabs>
          <w:tab w:val="left" w:pos="828"/>
          <w:tab w:val="left" w:pos="829"/>
        </w:tabs>
      </w:pPr>
      <w:r>
        <w:t>Extending assessment deadlines</w:t>
      </w:r>
    </w:p>
    <w:p w:rsidR="00AF6D93" w:rsidRDefault="008D472C">
      <w:pPr>
        <w:pStyle w:val="ListParagraph"/>
        <w:numPr>
          <w:ilvl w:val="0"/>
          <w:numId w:val="1"/>
        </w:numPr>
        <w:tabs>
          <w:tab w:val="left" w:pos="828"/>
          <w:tab w:val="left" w:pos="829"/>
        </w:tabs>
        <w:ind w:right="228" w:hanging="721"/>
        <w:jc w:val="left"/>
      </w:pPr>
      <w:r>
        <w:t>Students may request an extension to an assessment deadline using the extension to coursework application form. The request should be made to the module leader in advance of the deadline. The module leader has the discretion to grant an extension of up to</w:t>
      </w:r>
      <w:r>
        <w:t xml:space="preserve"> 14 calendar</w:t>
      </w:r>
      <w:r>
        <w:rPr>
          <w:spacing w:val="-1"/>
        </w:rPr>
        <w:t xml:space="preserve"> </w:t>
      </w:r>
      <w:r>
        <w:t>days.</w:t>
      </w:r>
    </w:p>
    <w:p w:rsidR="00AF6D93" w:rsidRDefault="008D472C">
      <w:pPr>
        <w:pStyle w:val="ListParagraph"/>
        <w:numPr>
          <w:ilvl w:val="0"/>
          <w:numId w:val="1"/>
        </w:numPr>
        <w:tabs>
          <w:tab w:val="left" w:pos="828"/>
          <w:tab w:val="left" w:pos="829"/>
        </w:tabs>
        <w:spacing w:before="119"/>
        <w:ind w:left="828"/>
        <w:jc w:val="left"/>
      </w:pPr>
      <w:r>
        <w:t>There is no requirement to provide evidence when requesting</w:t>
      </w:r>
      <w:r>
        <w:rPr>
          <w:spacing w:val="-14"/>
        </w:rPr>
        <w:t xml:space="preserve"> </w:t>
      </w:r>
      <w:r>
        <w:t>extensions.</w:t>
      </w:r>
    </w:p>
    <w:p w:rsidR="00AF6D93" w:rsidRDefault="008D472C">
      <w:pPr>
        <w:pStyle w:val="ListParagraph"/>
        <w:numPr>
          <w:ilvl w:val="0"/>
          <w:numId w:val="1"/>
        </w:numPr>
        <w:tabs>
          <w:tab w:val="left" w:pos="828"/>
          <w:tab w:val="left" w:pos="829"/>
        </w:tabs>
        <w:ind w:left="828"/>
        <w:jc w:val="left"/>
      </w:pPr>
      <w:r>
        <w:t>If a deadline extension is approved the module leader will confirm the revised deadline</w:t>
      </w:r>
      <w:r>
        <w:rPr>
          <w:spacing w:val="-33"/>
        </w:rPr>
        <w:t xml:space="preserve"> </w:t>
      </w:r>
      <w:r>
        <w:t>date.</w:t>
      </w:r>
    </w:p>
    <w:p w:rsidR="00AF6D93" w:rsidRDefault="00AF6D93">
      <w:pPr>
        <w:pStyle w:val="BodyText"/>
        <w:spacing w:before="0"/>
        <w:ind w:left="0"/>
      </w:pPr>
    </w:p>
    <w:p w:rsidR="00AF6D93" w:rsidRDefault="00AF6D93">
      <w:pPr>
        <w:pStyle w:val="BodyText"/>
        <w:spacing w:before="9"/>
        <w:ind w:left="0"/>
        <w:rPr>
          <w:sz w:val="19"/>
        </w:rPr>
      </w:pPr>
    </w:p>
    <w:p w:rsidR="00AF6D93" w:rsidRDefault="008D472C">
      <w:pPr>
        <w:pStyle w:val="Heading2"/>
        <w:numPr>
          <w:ilvl w:val="0"/>
          <w:numId w:val="2"/>
        </w:numPr>
        <w:tabs>
          <w:tab w:val="left" w:pos="828"/>
          <w:tab w:val="left" w:pos="829"/>
        </w:tabs>
      </w:pPr>
      <w:r>
        <w:t>Unauthorised late submission of</w:t>
      </w:r>
      <w:r>
        <w:rPr>
          <w:spacing w:val="-6"/>
        </w:rPr>
        <w:t xml:space="preserve"> </w:t>
      </w:r>
      <w:r>
        <w:t>assessments</w:t>
      </w:r>
    </w:p>
    <w:p w:rsidR="00AF6D93" w:rsidRDefault="008D472C">
      <w:pPr>
        <w:pStyle w:val="ListParagraph"/>
        <w:numPr>
          <w:ilvl w:val="0"/>
          <w:numId w:val="1"/>
        </w:numPr>
        <w:tabs>
          <w:tab w:val="left" w:pos="828"/>
          <w:tab w:val="left" w:pos="829"/>
        </w:tabs>
        <w:ind w:right="602" w:hanging="721"/>
        <w:jc w:val="left"/>
      </w:pPr>
      <w:r>
        <w:t>If an assessment is submitted later than the deadline without an approved extension or deferral the mark received would normally be</w:t>
      </w:r>
      <w:r>
        <w:rPr>
          <w:spacing w:val="-8"/>
        </w:rPr>
        <w:t xml:space="preserve"> </w:t>
      </w:r>
      <w:r>
        <w:t>capped.</w:t>
      </w:r>
    </w:p>
    <w:p w:rsidR="00AF6D93" w:rsidRDefault="008D472C">
      <w:pPr>
        <w:pStyle w:val="ListParagraph"/>
        <w:numPr>
          <w:ilvl w:val="0"/>
          <w:numId w:val="1"/>
        </w:numPr>
        <w:tabs>
          <w:tab w:val="left" w:pos="828"/>
          <w:tab w:val="left" w:pos="829"/>
        </w:tabs>
        <w:spacing w:before="121"/>
        <w:ind w:right="211" w:hanging="721"/>
        <w:jc w:val="left"/>
      </w:pPr>
      <w:r>
        <w:t>From the point of approval of this regulation, and for the 2020-21 academic year only, the penalty for late sub</w:t>
      </w:r>
      <w:bookmarkStart w:name="_GoBack" w:id="0"/>
      <w:bookmarkEnd w:id="0"/>
      <w:r>
        <w:t>missi</w:t>
      </w:r>
      <w:r>
        <w:t>on will not be applied for submissions up to five days late where IT, personal or academic issues associated with lockdown are cited as the reason. This should be agreed and recorded by the module leader. Where the nature of the assessment (</w:t>
      </w:r>
      <w:proofErr w:type="spellStart"/>
      <w:r>
        <w:t>eg</w:t>
      </w:r>
      <w:proofErr w:type="spellEnd"/>
      <w:r>
        <w:t xml:space="preserve"> phase test) </w:t>
      </w:r>
      <w:r>
        <w:t>means the deadline cannot be extended, students are advised to request a deferral.</w:t>
      </w:r>
    </w:p>
    <w:p w:rsidR="00AF6D93" w:rsidRDefault="008D472C">
      <w:pPr>
        <w:pStyle w:val="ListParagraph"/>
        <w:numPr>
          <w:ilvl w:val="0"/>
          <w:numId w:val="1"/>
        </w:numPr>
        <w:tabs>
          <w:tab w:val="left" w:pos="828"/>
          <w:tab w:val="left" w:pos="829"/>
        </w:tabs>
        <w:spacing w:before="118"/>
        <w:ind w:left="828"/>
        <w:jc w:val="left"/>
      </w:pPr>
      <w:r>
        <w:t>This will not apply retrospectively to the point of</w:t>
      </w:r>
      <w:r>
        <w:rPr>
          <w:spacing w:val="-7"/>
        </w:rPr>
        <w:t xml:space="preserve"> </w:t>
      </w:r>
      <w:r>
        <w:t>approval.</w:t>
      </w:r>
    </w:p>
    <w:p w:rsidR="00AF6D93" w:rsidRDefault="008D472C">
      <w:pPr>
        <w:pStyle w:val="ListParagraph"/>
        <w:numPr>
          <w:ilvl w:val="0"/>
          <w:numId w:val="1"/>
        </w:numPr>
        <w:tabs>
          <w:tab w:val="left" w:pos="828"/>
          <w:tab w:val="left" w:pos="829"/>
        </w:tabs>
        <w:spacing w:before="121"/>
        <w:ind w:right="391" w:hanging="721"/>
        <w:jc w:val="left"/>
      </w:pPr>
      <w:r>
        <w:t>In all other cases, the standard regulations and penalties apply (see Academic Regulations for Taught Programme</w:t>
      </w:r>
      <w:r>
        <w:t>s, 2020/21, para</w:t>
      </w:r>
      <w:r>
        <w:rPr>
          <w:spacing w:val="-8"/>
        </w:rPr>
        <w:t xml:space="preserve"> </w:t>
      </w:r>
      <w:r>
        <w:t>27-31).</w:t>
      </w:r>
    </w:p>
    <w:p w:rsidR="00AF6D93" w:rsidRDefault="00AF6D93">
      <w:pPr>
        <w:pStyle w:val="BodyText"/>
        <w:spacing w:before="0"/>
        <w:ind w:left="0"/>
      </w:pPr>
    </w:p>
    <w:p w:rsidR="00AF6D93" w:rsidRDefault="00AF6D93">
      <w:pPr>
        <w:pStyle w:val="BodyText"/>
        <w:spacing w:before="8"/>
        <w:ind w:left="0"/>
        <w:rPr>
          <w:sz w:val="19"/>
        </w:rPr>
      </w:pPr>
    </w:p>
    <w:p w:rsidR="00AF6D93" w:rsidRDefault="008D472C">
      <w:pPr>
        <w:pStyle w:val="Heading2"/>
        <w:numPr>
          <w:ilvl w:val="0"/>
          <w:numId w:val="2"/>
        </w:numPr>
        <w:tabs>
          <w:tab w:val="left" w:pos="828"/>
          <w:tab w:val="left" w:pos="829"/>
        </w:tabs>
      </w:pPr>
      <w:r>
        <w:t>Reassessment of</w:t>
      </w:r>
      <w:r>
        <w:rPr>
          <w:spacing w:val="-1"/>
        </w:rPr>
        <w:t xml:space="preserve"> </w:t>
      </w:r>
      <w:r>
        <w:t>failure</w:t>
      </w:r>
    </w:p>
    <w:p w:rsidR="00AF6D93" w:rsidRDefault="008D472C">
      <w:pPr>
        <w:pStyle w:val="ListParagraph"/>
        <w:numPr>
          <w:ilvl w:val="0"/>
          <w:numId w:val="1"/>
        </w:numPr>
        <w:tabs>
          <w:tab w:val="left" w:pos="828"/>
          <w:tab w:val="left" w:pos="829"/>
        </w:tabs>
        <w:spacing w:before="118"/>
        <w:ind w:right="99" w:hanging="721"/>
        <w:jc w:val="left"/>
      </w:pPr>
      <w:r>
        <w:t>Should a student fail a module, they may only be reassessed in the failed assessment components. Students may not be reassessed in assessment components or modules which have already been passed. Where a s</w:t>
      </w:r>
      <w:r>
        <w:t>tudent has been reassessed in one or more assessment tasks within a module, the mark for the overall module would normally be capped at the pass mark (regulation</w:t>
      </w:r>
      <w:r>
        <w:rPr>
          <w:spacing w:val="-3"/>
        </w:rPr>
        <w:t xml:space="preserve"> </w:t>
      </w:r>
      <w:r>
        <w:t>39).</w:t>
      </w:r>
    </w:p>
    <w:p w:rsidR="00AF6D93" w:rsidRDefault="008D472C">
      <w:pPr>
        <w:pStyle w:val="ListParagraph"/>
        <w:numPr>
          <w:ilvl w:val="0"/>
          <w:numId w:val="1"/>
        </w:numPr>
        <w:tabs>
          <w:tab w:val="left" w:pos="828"/>
          <w:tab w:val="left" w:pos="829"/>
        </w:tabs>
        <w:spacing w:before="121"/>
        <w:ind w:right="130" w:hanging="721"/>
        <w:jc w:val="left"/>
      </w:pPr>
      <w:r>
        <w:t>For the 2020/21 academic year only, students who fail a module and require reassessment in the failed assessment component will not be subject to the overall module mark being capped when the reassessment is completed. This will be for the first reassessme</w:t>
      </w:r>
      <w:r>
        <w:t>nt attempt only, and only for modules studied, or where marks are presented against a module for the first time in 2020/21. The volume of reassessment opportunities available remains as per the academic</w:t>
      </w:r>
      <w:r>
        <w:rPr>
          <w:spacing w:val="-2"/>
        </w:rPr>
        <w:t xml:space="preserve"> </w:t>
      </w:r>
      <w:r>
        <w:t>regulations.</w:t>
      </w:r>
    </w:p>
    <w:p w:rsidR="00AF6D93" w:rsidRDefault="00AF6D93">
      <w:pPr>
        <w:sectPr w:rsidR="00AF6D93">
          <w:footerReference w:type="default" r:id="rId7"/>
          <w:type w:val="continuous"/>
          <w:pgSz w:w="11910" w:h="16840"/>
          <w:pgMar w:top="1180" w:right="1340" w:bottom="1200" w:left="1320" w:header="720" w:footer="1002" w:gutter="0"/>
          <w:pgNumType w:start="1"/>
          <w:cols w:space="720"/>
        </w:sectPr>
      </w:pPr>
    </w:p>
    <w:p w:rsidR="00AF6D93" w:rsidRDefault="008D472C">
      <w:pPr>
        <w:pStyle w:val="ListParagraph"/>
        <w:numPr>
          <w:ilvl w:val="0"/>
          <w:numId w:val="1"/>
        </w:numPr>
        <w:tabs>
          <w:tab w:val="left" w:pos="840"/>
        </w:tabs>
        <w:spacing w:before="46"/>
        <w:ind w:left="839" w:right="394" w:hanging="361"/>
        <w:jc w:val="left"/>
      </w:pPr>
      <w:r>
        <w:lastRenderedPageBreak/>
        <w:t xml:space="preserve">If a student fails as a result of non-submission, the standard regulations will apply and the reassessment will be capped at the pass mark. </w:t>
      </w:r>
      <w:proofErr w:type="gramStart"/>
      <w:r>
        <w:t>Therefore</w:t>
      </w:r>
      <w:proofErr w:type="gramEnd"/>
      <w:r>
        <w:t xml:space="preserve"> students must attempt the component in order for this emergency regulation to be</w:t>
      </w:r>
      <w:r>
        <w:rPr>
          <w:spacing w:val="-7"/>
        </w:rPr>
        <w:t xml:space="preserve"> </w:t>
      </w:r>
      <w:r>
        <w:t>applied.</w:t>
      </w:r>
    </w:p>
    <w:p w:rsidR="00AF6D93" w:rsidRDefault="00AF6D93">
      <w:pPr>
        <w:pStyle w:val="BodyText"/>
        <w:spacing w:before="0"/>
        <w:ind w:left="0"/>
      </w:pPr>
    </w:p>
    <w:p w:rsidR="00AF6D93" w:rsidRDefault="008D472C">
      <w:pPr>
        <w:pStyle w:val="ListParagraph"/>
        <w:numPr>
          <w:ilvl w:val="0"/>
          <w:numId w:val="1"/>
        </w:numPr>
        <w:tabs>
          <w:tab w:val="left" w:pos="841"/>
        </w:tabs>
        <w:spacing w:before="0"/>
        <w:ind w:right="388" w:hanging="361"/>
        <w:jc w:val="left"/>
      </w:pPr>
      <w:r>
        <w:t>Students who en</w:t>
      </w:r>
      <w:r>
        <w:t>tered 2020/21 with a failed assessment from previous academic sessions will not have this emergency regulation applied to those</w:t>
      </w:r>
      <w:r>
        <w:rPr>
          <w:spacing w:val="-12"/>
        </w:rPr>
        <w:t xml:space="preserve"> </w:t>
      </w:r>
      <w:r>
        <w:t>reassessments.</w:t>
      </w:r>
    </w:p>
    <w:p w:rsidR="00AF6D93" w:rsidRDefault="00AF6D93">
      <w:pPr>
        <w:pStyle w:val="BodyText"/>
        <w:spacing w:before="11"/>
        <w:ind w:left="0"/>
        <w:rPr>
          <w:sz w:val="31"/>
        </w:rPr>
      </w:pPr>
    </w:p>
    <w:p w:rsidR="00AF6D93" w:rsidRDefault="008D472C">
      <w:pPr>
        <w:pStyle w:val="Heading2"/>
        <w:numPr>
          <w:ilvl w:val="0"/>
          <w:numId w:val="2"/>
        </w:numPr>
        <w:tabs>
          <w:tab w:val="left" w:pos="827"/>
          <w:tab w:val="left" w:pos="829"/>
        </w:tabs>
        <w:ind w:hanging="710"/>
      </w:pPr>
      <w:r>
        <w:t>Degree</w:t>
      </w:r>
      <w:r>
        <w:rPr>
          <w:spacing w:val="-4"/>
        </w:rPr>
        <w:t xml:space="preserve"> </w:t>
      </w:r>
      <w:r>
        <w:t>classification</w:t>
      </w:r>
    </w:p>
    <w:p w:rsidR="00AF6D93" w:rsidRDefault="008D472C">
      <w:pPr>
        <w:pStyle w:val="Heading3"/>
        <w:spacing w:before="120"/>
      </w:pPr>
      <w:r>
        <w:t>Bachelors awards</w:t>
      </w:r>
    </w:p>
    <w:p w:rsidR="00AF6D93" w:rsidRDefault="008D472C">
      <w:pPr>
        <w:pStyle w:val="BodyText"/>
        <w:spacing w:before="121"/>
        <w:ind w:left="120"/>
      </w:pPr>
      <w:r>
        <w:rPr>
          <w:u w:val="single"/>
        </w:rPr>
        <w:t>Current level 5 students</w:t>
      </w:r>
    </w:p>
    <w:p w:rsidR="00AF6D93" w:rsidRDefault="008D472C">
      <w:pPr>
        <w:pStyle w:val="ListParagraph"/>
        <w:numPr>
          <w:ilvl w:val="0"/>
          <w:numId w:val="1"/>
        </w:numPr>
        <w:tabs>
          <w:tab w:val="left" w:pos="828"/>
          <w:tab w:val="left" w:pos="829"/>
        </w:tabs>
        <w:spacing w:before="118"/>
        <w:ind w:right="274" w:hanging="721"/>
        <w:jc w:val="left"/>
      </w:pPr>
      <w:r>
        <w:t xml:space="preserve">Students studying at level 5 in 2020/21 will have 30 credits discounted rather than 15. This will mean that the final award, whenever made, will be calculated on the best 90 credits at level 5 and best 105 credits at level 6. This applies only to students </w:t>
      </w:r>
      <w:r>
        <w:t>undertaking level 5 for the first time in 2020/21 and not to those undertaking level 5 reassessments in the current year.</w:t>
      </w:r>
    </w:p>
    <w:p w:rsidR="00AF6D93" w:rsidRDefault="008D472C">
      <w:pPr>
        <w:pStyle w:val="BodyText"/>
        <w:spacing w:before="121"/>
        <w:ind w:left="120"/>
      </w:pPr>
      <w:r>
        <w:rPr>
          <w:u w:val="single"/>
        </w:rPr>
        <w:t>Current level 6 final year students</w:t>
      </w:r>
    </w:p>
    <w:p w:rsidR="00AF6D93" w:rsidRDefault="008D472C">
      <w:pPr>
        <w:pStyle w:val="ListParagraph"/>
        <w:numPr>
          <w:ilvl w:val="0"/>
          <w:numId w:val="1"/>
        </w:numPr>
        <w:tabs>
          <w:tab w:val="left" w:pos="828"/>
          <w:tab w:val="left" w:pos="829"/>
        </w:tabs>
        <w:ind w:right="303" w:hanging="721"/>
        <w:jc w:val="left"/>
      </w:pPr>
      <w:r>
        <w:t>In 2020/21 only, final year students studying at level 6 will receive the best classification from</w:t>
      </w:r>
      <w:r>
        <w:t xml:space="preserve"> two calculations, one weighting level 6 at 2:1 and one at the normal weighting of 3:1. Direct entrants to level 6 will have their classification based solely on their level 6 achievements as</w:t>
      </w:r>
      <w:r>
        <w:rPr>
          <w:spacing w:val="-3"/>
        </w:rPr>
        <w:t xml:space="preserve"> </w:t>
      </w:r>
      <w:r>
        <w:t>normal.</w:t>
      </w:r>
    </w:p>
    <w:p w:rsidR="00AF6D93" w:rsidRDefault="008D472C">
      <w:pPr>
        <w:pStyle w:val="Heading3"/>
      </w:pPr>
      <w:r>
        <w:t>Integrated Masters awards</w:t>
      </w:r>
    </w:p>
    <w:p w:rsidR="00AF6D93" w:rsidRDefault="008D472C">
      <w:pPr>
        <w:pStyle w:val="BodyText"/>
        <w:ind w:left="120"/>
      </w:pPr>
      <w:r>
        <w:rPr>
          <w:u w:val="single"/>
        </w:rPr>
        <w:t>Current level 5 and level 6 st</w:t>
      </w:r>
      <w:r>
        <w:rPr>
          <w:u w:val="single"/>
        </w:rPr>
        <w:t>udents</w:t>
      </w:r>
    </w:p>
    <w:p w:rsidR="00AF6D93" w:rsidRDefault="008D472C">
      <w:pPr>
        <w:pStyle w:val="ListParagraph"/>
        <w:numPr>
          <w:ilvl w:val="0"/>
          <w:numId w:val="1"/>
        </w:numPr>
        <w:tabs>
          <w:tab w:val="left" w:pos="828"/>
          <w:tab w:val="left" w:pos="829"/>
        </w:tabs>
        <w:ind w:right="188" w:hanging="721"/>
        <w:jc w:val="left"/>
      </w:pPr>
      <w:r>
        <w:t>Students studying at level 5 or level 6 in 20/21 will have an additional 15 credits discounted. This means that the final award, whenever made, will be calculated on the best 210 credits at level 5 and level 6. This applies only to students undertak</w:t>
      </w:r>
      <w:r>
        <w:t>ing level 5 or level 6 for the first time in 2020/21 and not to those undertaking reassessments in the current</w:t>
      </w:r>
      <w:r>
        <w:rPr>
          <w:spacing w:val="-17"/>
        </w:rPr>
        <w:t xml:space="preserve"> </w:t>
      </w:r>
      <w:r>
        <w:t>year.</w:t>
      </w:r>
    </w:p>
    <w:p w:rsidR="00AF6D93" w:rsidRDefault="008D472C">
      <w:pPr>
        <w:pStyle w:val="ListParagraph"/>
        <w:numPr>
          <w:ilvl w:val="0"/>
          <w:numId w:val="1"/>
        </w:numPr>
        <w:tabs>
          <w:tab w:val="left" w:pos="828"/>
          <w:tab w:val="left" w:pos="829"/>
        </w:tabs>
        <w:spacing w:before="1"/>
        <w:ind w:right="666" w:hanging="721"/>
        <w:jc w:val="left"/>
      </w:pPr>
      <w:r>
        <w:t>Should current level 5 or level 6 students leave with a BA/BSc rather than the intended Masters award, the regulations will be applied as f</w:t>
      </w:r>
      <w:r>
        <w:t>or Bachelors awards (see</w:t>
      </w:r>
      <w:r>
        <w:rPr>
          <w:spacing w:val="-26"/>
        </w:rPr>
        <w:t xml:space="preserve"> </w:t>
      </w:r>
      <w:r>
        <w:t>above).</w:t>
      </w:r>
    </w:p>
    <w:p w:rsidR="00AF6D93" w:rsidRDefault="008D472C">
      <w:pPr>
        <w:pStyle w:val="BodyText"/>
        <w:spacing w:before="121"/>
        <w:ind w:left="120"/>
      </w:pPr>
      <w:r>
        <w:rPr>
          <w:u w:val="single"/>
        </w:rPr>
        <w:t>Current level 7 final year students</w:t>
      </w:r>
    </w:p>
    <w:p w:rsidR="00AF6D93" w:rsidRDefault="008D472C">
      <w:pPr>
        <w:pStyle w:val="ListParagraph"/>
        <w:numPr>
          <w:ilvl w:val="0"/>
          <w:numId w:val="1"/>
        </w:numPr>
        <w:tabs>
          <w:tab w:val="left" w:pos="828"/>
          <w:tab w:val="left" w:pos="829"/>
        </w:tabs>
        <w:spacing w:before="117"/>
        <w:ind w:left="730" w:right="410" w:hanging="611"/>
        <w:jc w:val="left"/>
      </w:pPr>
      <w:r>
        <w:tab/>
      </w:r>
      <w:r>
        <w:t>In 2020/21 only, final year students studying at level 7 will receive the best classification from</w:t>
      </w:r>
      <w:r>
        <w:rPr>
          <w:spacing w:val="-3"/>
        </w:rPr>
        <w:t xml:space="preserve"> </w:t>
      </w:r>
      <w:r>
        <w:t>two</w:t>
      </w:r>
      <w:r>
        <w:rPr>
          <w:spacing w:val="-3"/>
        </w:rPr>
        <w:t xml:space="preserve"> </w:t>
      </w:r>
      <w:r>
        <w:t>calculations,</w:t>
      </w:r>
      <w:r>
        <w:rPr>
          <w:spacing w:val="-4"/>
        </w:rPr>
        <w:t xml:space="preserve"> </w:t>
      </w:r>
      <w:r>
        <w:t>one</w:t>
      </w:r>
      <w:r>
        <w:rPr>
          <w:spacing w:val="-4"/>
        </w:rPr>
        <w:t xml:space="preserve"> </w:t>
      </w:r>
      <w:r>
        <w:t>weighting</w:t>
      </w:r>
      <w:r>
        <w:rPr>
          <w:spacing w:val="-3"/>
        </w:rPr>
        <w:t xml:space="preserve"> </w:t>
      </w:r>
      <w:r>
        <w:t>level</w:t>
      </w:r>
      <w:r>
        <w:rPr>
          <w:spacing w:val="-4"/>
        </w:rPr>
        <w:t xml:space="preserve"> </w:t>
      </w:r>
      <w:r>
        <w:t>7</w:t>
      </w:r>
      <w:r>
        <w:rPr>
          <w:spacing w:val="-1"/>
        </w:rPr>
        <w:t xml:space="preserve"> </w:t>
      </w:r>
      <w:r>
        <w:t>at</w:t>
      </w:r>
      <w:r>
        <w:rPr>
          <w:spacing w:val="-4"/>
        </w:rPr>
        <w:t xml:space="preserve"> </w:t>
      </w:r>
      <w:r>
        <w:t>2:1</w:t>
      </w:r>
      <w:r>
        <w:rPr>
          <w:spacing w:val="-2"/>
        </w:rPr>
        <w:t xml:space="preserve"> </w:t>
      </w:r>
      <w:r>
        <w:t>and</w:t>
      </w:r>
      <w:r>
        <w:rPr>
          <w:spacing w:val="-3"/>
        </w:rPr>
        <w:t xml:space="preserve"> </w:t>
      </w:r>
      <w:r>
        <w:t>one</w:t>
      </w:r>
      <w:r>
        <w:rPr>
          <w:spacing w:val="-2"/>
        </w:rPr>
        <w:t xml:space="preserve"> </w:t>
      </w:r>
      <w:r>
        <w:t>at</w:t>
      </w:r>
      <w:r>
        <w:rPr>
          <w:spacing w:val="-1"/>
        </w:rPr>
        <w:t xml:space="preserve"> </w:t>
      </w:r>
      <w:r>
        <w:t>the</w:t>
      </w:r>
      <w:r>
        <w:rPr>
          <w:spacing w:val="-3"/>
        </w:rPr>
        <w:t xml:space="preserve"> </w:t>
      </w:r>
      <w:r>
        <w:t>normal</w:t>
      </w:r>
      <w:r>
        <w:rPr>
          <w:spacing w:val="-4"/>
        </w:rPr>
        <w:t xml:space="preserve"> </w:t>
      </w:r>
      <w:r>
        <w:t>weighting</w:t>
      </w:r>
      <w:r>
        <w:rPr>
          <w:spacing w:val="-3"/>
        </w:rPr>
        <w:t xml:space="preserve"> </w:t>
      </w:r>
      <w:r>
        <w:t>of</w:t>
      </w:r>
      <w:r>
        <w:rPr>
          <w:spacing w:val="-2"/>
        </w:rPr>
        <w:t xml:space="preserve"> </w:t>
      </w:r>
      <w:r>
        <w:t>3:1.</w:t>
      </w:r>
    </w:p>
    <w:p w:rsidR="00AF6D93" w:rsidRDefault="00AF6D93">
      <w:pPr>
        <w:pStyle w:val="BodyText"/>
        <w:spacing w:before="11"/>
        <w:ind w:left="0"/>
        <w:rPr>
          <w:sz w:val="31"/>
        </w:rPr>
      </w:pPr>
    </w:p>
    <w:p w:rsidR="00AF6D93" w:rsidRDefault="008D472C">
      <w:pPr>
        <w:pStyle w:val="Heading2"/>
        <w:ind w:left="120" w:firstLine="0"/>
      </w:pPr>
      <w:r>
        <w:t>Proposed amendment to the General regulations and procedures affecting students, 2020/21</w:t>
      </w:r>
    </w:p>
    <w:p w:rsidR="00AF6D93" w:rsidRDefault="008D472C">
      <w:pPr>
        <w:pStyle w:val="ListParagraph"/>
        <w:numPr>
          <w:ilvl w:val="0"/>
          <w:numId w:val="2"/>
        </w:numPr>
        <w:tabs>
          <w:tab w:val="left" w:pos="827"/>
          <w:tab w:val="left" w:pos="828"/>
        </w:tabs>
        <w:ind w:left="827" w:hanging="708"/>
        <w:rPr>
          <w:b/>
        </w:rPr>
      </w:pPr>
      <w:r>
        <w:rPr>
          <w:b/>
        </w:rPr>
        <w:t>Deferral of assessments on grounds of extenuating</w:t>
      </w:r>
      <w:r>
        <w:rPr>
          <w:b/>
          <w:spacing w:val="-5"/>
        </w:rPr>
        <w:t xml:space="preserve"> </w:t>
      </w:r>
      <w:r>
        <w:rPr>
          <w:b/>
        </w:rPr>
        <w:t>circumstances</w:t>
      </w:r>
    </w:p>
    <w:p w:rsidR="00AF6D93" w:rsidRDefault="008D472C">
      <w:pPr>
        <w:pStyle w:val="ListParagraph"/>
        <w:numPr>
          <w:ilvl w:val="0"/>
          <w:numId w:val="1"/>
        </w:numPr>
        <w:tabs>
          <w:tab w:val="left" w:pos="828"/>
          <w:tab w:val="left" w:pos="829"/>
        </w:tabs>
        <w:spacing w:before="121"/>
        <w:ind w:right="343" w:hanging="721"/>
        <w:jc w:val="left"/>
      </w:pPr>
      <w:r>
        <w:t>Deferrals will be considered for students who have notified the university and submitted a deferral re</w:t>
      </w:r>
      <w:r>
        <w:t>quest to their Faculty Student Advice Centre. Students requesting deferrals for this assessment period will not be required to provide third party evidence. We strongly recommend that all students consult their Student Advice Centre to discuss their circum</w:t>
      </w:r>
      <w:r>
        <w:t>stances before submitting a deferral</w:t>
      </w:r>
      <w:r>
        <w:rPr>
          <w:spacing w:val="-7"/>
        </w:rPr>
        <w:t xml:space="preserve"> </w:t>
      </w:r>
      <w:r>
        <w:t>request.</w:t>
      </w:r>
    </w:p>
    <w:p w:rsidR="00AF6D93" w:rsidRDefault="008D472C">
      <w:pPr>
        <w:pStyle w:val="ListParagraph"/>
        <w:numPr>
          <w:ilvl w:val="0"/>
          <w:numId w:val="1"/>
        </w:numPr>
        <w:tabs>
          <w:tab w:val="left" w:pos="839"/>
          <w:tab w:val="left" w:pos="841"/>
        </w:tabs>
        <w:spacing w:before="118"/>
        <w:ind w:left="839" w:right="779" w:hanging="720"/>
        <w:jc w:val="left"/>
      </w:pPr>
      <w:r>
        <w:t xml:space="preserve">All students granted deferrals will be expected to take their assessments at the next available opportunity. Should this not be possible for </w:t>
      </w:r>
      <w:proofErr w:type="spellStart"/>
      <w:r>
        <w:t>Covid</w:t>
      </w:r>
      <w:proofErr w:type="spellEnd"/>
      <w:r>
        <w:t>-related reasons, a further deferral should be</w:t>
      </w:r>
      <w:r>
        <w:rPr>
          <w:spacing w:val="-1"/>
        </w:rPr>
        <w:t xml:space="preserve"> </w:t>
      </w:r>
      <w:r>
        <w:t>sought.</w:t>
      </w:r>
    </w:p>
    <w:sectPr w:rsidR="00AF6D93">
      <w:pgSz w:w="11910" w:h="16840"/>
      <w:pgMar w:top="360" w:right="134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D472C">
      <w:r>
        <w:separator/>
      </w:r>
    </w:p>
  </w:endnote>
  <w:endnote w:type="continuationSeparator" w:id="0">
    <w:p w:rsidR="00000000" w:rsidRDefault="008D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93" w:rsidRDefault="008D472C">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91.85pt;margin-top:780.8pt;width:11.6pt;height:13.05pt;z-index:-251658752;mso-position-horizontal-relative:page;mso-position-vertical-relative:page" filled="f" stroked="f">
          <v:textbox inset="0,0,0,0">
            <w:txbxContent>
              <w:p w:rsidR="00AF6D93" w:rsidRDefault="008D472C">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D472C">
      <w:r>
        <w:separator/>
      </w:r>
    </w:p>
  </w:footnote>
  <w:footnote w:type="continuationSeparator" w:id="0">
    <w:p w:rsidR="00000000" w:rsidRDefault="008D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03B8"/>
    <w:multiLevelType w:val="hybridMultilevel"/>
    <w:tmpl w:val="F64C4E20"/>
    <w:lvl w:ilvl="0" w:tplc="6FEE99EE">
      <w:start w:val="1"/>
      <w:numFmt w:val="decimal"/>
      <w:lvlText w:val="%1."/>
      <w:lvlJc w:val="left"/>
      <w:pPr>
        <w:ind w:left="840" w:hanging="709"/>
        <w:jc w:val="right"/>
      </w:pPr>
      <w:rPr>
        <w:rFonts w:hint="default"/>
        <w:b w:val="0"/>
        <w:bCs/>
        <w:w w:val="100"/>
        <w:lang w:val="en-GB" w:eastAsia="en-GB" w:bidi="en-GB"/>
      </w:rPr>
    </w:lvl>
    <w:lvl w:ilvl="1" w:tplc="7C926AAC">
      <w:numFmt w:val="bullet"/>
      <w:lvlText w:val="•"/>
      <w:lvlJc w:val="left"/>
      <w:pPr>
        <w:ind w:left="1680" w:hanging="709"/>
      </w:pPr>
      <w:rPr>
        <w:rFonts w:hint="default"/>
        <w:lang w:val="en-GB" w:eastAsia="en-GB" w:bidi="en-GB"/>
      </w:rPr>
    </w:lvl>
    <w:lvl w:ilvl="2" w:tplc="C8306EF8">
      <w:numFmt w:val="bullet"/>
      <w:lvlText w:val="•"/>
      <w:lvlJc w:val="left"/>
      <w:pPr>
        <w:ind w:left="2521" w:hanging="709"/>
      </w:pPr>
      <w:rPr>
        <w:rFonts w:hint="default"/>
        <w:lang w:val="en-GB" w:eastAsia="en-GB" w:bidi="en-GB"/>
      </w:rPr>
    </w:lvl>
    <w:lvl w:ilvl="3" w:tplc="A2146584">
      <w:numFmt w:val="bullet"/>
      <w:lvlText w:val="•"/>
      <w:lvlJc w:val="left"/>
      <w:pPr>
        <w:ind w:left="3361" w:hanging="709"/>
      </w:pPr>
      <w:rPr>
        <w:rFonts w:hint="default"/>
        <w:lang w:val="en-GB" w:eastAsia="en-GB" w:bidi="en-GB"/>
      </w:rPr>
    </w:lvl>
    <w:lvl w:ilvl="4" w:tplc="F87E9C12">
      <w:numFmt w:val="bullet"/>
      <w:lvlText w:val="•"/>
      <w:lvlJc w:val="left"/>
      <w:pPr>
        <w:ind w:left="4202" w:hanging="709"/>
      </w:pPr>
      <w:rPr>
        <w:rFonts w:hint="default"/>
        <w:lang w:val="en-GB" w:eastAsia="en-GB" w:bidi="en-GB"/>
      </w:rPr>
    </w:lvl>
    <w:lvl w:ilvl="5" w:tplc="03B80A8A">
      <w:numFmt w:val="bullet"/>
      <w:lvlText w:val="•"/>
      <w:lvlJc w:val="left"/>
      <w:pPr>
        <w:ind w:left="5043" w:hanging="709"/>
      </w:pPr>
      <w:rPr>
        <w:rFonts w:hint="default"/>
        <w:lang w:val="en-GB" w:eastAsia="en-GB" w:bidi="en-GB"/>
      </w:rPr>
    </w:lvl>
    <w:lvl w:ilvl="6" w:tplc="BC2EBEDC">
      <w:numFmt w:val="bullet"/>
      <w:lvlText w:val="•"/>
      <w:lvlJc w:val="left"/>
      <w:pPr>
        <w:ind w:left="5883" w:hanging="709"/>
      </w:pPr>
      <w:rPr>
        <w:rFonts w:hint="default"/>
        <w:lang w:val="en-GB" w:eastAsia="en-GB" w:bidi="en-GB"/>
      </w:rPr>
    </w:lvl>
    <w:lvl w:ilvl="7" w:tplc="B84CE96C">
      <w:numFmt w:val="bullet"/>
      <w:lvlText w:val="•"/>
      <w:lvlJc w:val="left"/>
      <w:pPr>
        <w:ind w:left="6724" w:hanging="709"/>
      </w:pPr>
      <w:rPr>
        <w:rFonts w:hint="default"/>
        <w:lang w:val="en-GB" w:eastAsia="en-GB" w:bidi="en-GB"/>
      </w:rPr>
    </w:lvl>
    <w:lvl w:ilvl="8" w:tplc="7AF6BDEC">
      <w:numFmt w:val="bullet"/>
      <w:lvlText w:val="•"/>
      <w:lvlJc w:val="left"/>
      <w:pPr>
        <w:ind w:left="7565" w:hanging="709"/>
      </w:pPr>
      <w:rPr>
        <w:rFonts w:hint="default"/>
        <w:lang w:val="en-GB" w:eastAsia="en-GB" w:bidi="en-GB"/>
      </w:rPr>
    </w:lvl>
  </w:abstractNum>
  <w:abstractNum w:abstractNumId="1" w15:restartNumberingAfterBreak="0">
    <w:nsid w:val="3D1C09E7"/>
    <w:multiLevelType w:val="hybridMultilevel"/>
    <w:tmpl w:val="0BD668A8"/>
    <w:lvl w:ilvl="0" w:tplc="6A8E2C0E">
      <w:start w:val="1"/>
      <w:numFmt w:val="upperLetter"/>
      <w:lvlText w:val="%1."/>
      <w:lvlJc w:val="left"/>
      <w:pPr>
        <w:ind w:left="828" w:hanging="709"/>
      </w:pPr>
      <w:rPr>
        <w:rFonts w:ascii="Calibri" w:eastAsia="Calibri" w:hAnsi="Calibri" w:cs="Calibri" w:hint="default"/>
        <w:b/>
        <w:bCs/>
        <w:w w:val="100"/>
        <w:sz w:val="22"/>
        <w:szCs w:val="22"/>
        <w:lang w:val="en-GB" w:eastAsia="en-GB" w:bidi="en-GB"/>
      </w:rPr>
    </w:lvl>
    <w:lvl w:ilvl="1" w:tplc="A052EE28">
      <w:numFmt w:val="bullet"/>
      <w:lvlText w:val="•"/>
      <w:lvlJc w:val="left"/>
      <w:pPr>
        <w:ind w:left="1662" w:hanging="709"/>
      </w:pPr>
      <w:rPr>
        <w:rFonts w:hint="default"/>
        <w:lang w:val="en-GB" w:eastAsia="en-GB" w:bidi="en-GB"/>
      </w:rPr>
    </w:lvl>
    <w:lvl w:ilvl="2" w:tplc="22046F12">
      <w:numFmt w:val="bullet"/>
      <w:lvlText w:val="•"/>
      <w:lvlJc w:val="left"/>
      <w:pPr>
        <w:ind w:left="2505" w:hanging="709"/>
      </w:pPr>
      <w:rPr>
        <w:rFonts w:hint="default"/>
        <w:lang w:val="en-GB" w:eastAsia="en-GB" w:bidi="en-GB"/>
      </w:rPr>
    </w:lvl>
    <w:lvl w:ilvl="3" w:tplc="746CD09C">
      <w:numFmt w:val="bullet"/>
      <w:lvlText w:val="•"/>
      <w:lvlJc w:val="left"/>
      <w:pPr>
        <w:ind w:left="3347" w:hanging="709"/>
      </w:pPr>
      <w:rPr>
        <w:rFonts w:hint="default"/>
        <w:lang w:val="en-GB" w:eastAsia="en-GB" w:bidi="en-GB"/>
      </w:rPr>
    </w:lvl>
    <w:lvl w:ilvl="4" w:tplc="A18E3B8E">
      <w:numFmt w:val="bullet"/>
      <w:lvlText w:val="•"/>
      <w:lvlJc w:val="left"/>
      <w:pPr>
        <w:ind w:left="4190" w:hanging="709"/>
      </w:pPr>
      <w:rPr>
        <w:rFonts w:hint="default"/>
        <w:lang w:val="en-GB" w:eastAsia="en-GB" w:bidi="en-GB"/>
      </w:rPr>
    </w:lvl>
    <w:lvl w:ilvl="5" w:tplc="02A6DE30">
      <w:numFmt w:val="bullet"/>
      <w:lvlText w:val="•"/>
      <w:lvlJc w:val="left"/>
      <w:pPr>
        <w:ind w:left="5033" w:hanging="709"/>
      </w:pPr>
      <w:rPr>
        <w:rFonts w:hint="default"/>
        <w:lang w:val="en-GB" w:eastAsia="en-GB" w:bidi="en-GB"/>
      </w:rPr>
    </w:lvl>
    <w:lvl w:ilvl="6" w:tplc="6624DFF2">
      <w:numFmt w:val="bullet"/>
      <w:lvlText w:val="•"/>
      <w:lvlJc w:val="left"/>
      <w:pPr>
        <w:ind w:left="5875" w:hanging="709"/>
      </w:pPr>
      <w:rPr>
        <w:rFonts w:hint="default"/>
        <w:lang w:val="en-GB" w:eastAsia="en-GB" w:bidi="en-GB"/>
      </w:rPr>
    </w:lvl>
    <w:lvl w:ilvl="7" w:tplc="DFD21DCA">
      <w:numFmt w:val="bullet"/>
      <w:lvlText w:val="•"/>
      <w:lvlJc w:val="left"/>
      <w:pPr>
        <w:ind w:left="6718" w:hanging="709"/>
      </w:pPr>
      <w:rPr>
        <w:rFonts w:hint="default"/>
        <w:lang w:val="en-GB" w:eastAsia="en-GB" w:bidi="en-GB"/>
      </w:rPr>
    </w:lvl>
    <w:lvl w:ilvl="8" w:tplc="22242F8E">
      <w:numFmt w:val="bullet"/>
      <w:lvlText w:val="•"/>
      <w:lvlJc w:val="left"/>
      <w:pPr>
        <w:ind w:left="7561" w:hanging="709"/>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6D93"/>
    <w:rsid w:val="008D472C"/>
    <w:rsid w:val="00A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85EA13-E0EE-4C01-A280-48F0A06C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9"/>
      <w:jc w:val="both"/>
      <w:outlineLvl w:val="0"/>
    </w:pPr>
    <w:rPr>
      <w:b/>
      <w:bCs/>
      <w:sz w:val="24"/>
      <w:szCs w:val="24"/>
    </w:rPr>
  </w:style>
  <w:style w:type="paragraph" w:styleId="Heading2">
    <w:name w:val="heading 2"/>
    <w:basedOn w:val="Normal"/>
    <w:uiPriority w:val="9"/>
    <w:unhideWhenUsed/>
    <w:qFormat/>
    <w:pPr>
      <w:ind w:left="828" w:hanging="709"/>
      <w:outlineLvl w:val="1"/>
    </w:pPr>
    <w:rPr>
      <w:b/>
      <w:bCs/>
    </w:rPr>
  </w:style>
  <w:style w:type="paragraph" w:styleId="Heading3">
    <w:name w:val="heading 3"/>
    <w:basedOn w:val="Normal"/>
    <w:uiPriority w:val="9"/>
    <w:unhideWhenUsed/>
    <w:qFormat/>
    <w:pPr>
      <w:spacing w:before="119"/>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pPr>
  </w:style>
  <w:style w:type="paragraph" w:styleId="ListParagraph">
    <w:name w:val="List Paragraph"/>
    <w:basedOn w:val="Normal"/>
    <w:uiPriority w:val="1"/>
    <w:qFormat/>
    <w:pPr>
      <w:spacing w:before="120"/>
      <w:ind w:left="8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4521</Characters>
  <Application>Microsoft Office Word</Application>
  <DocSecurity>0</DocSecurity>
  <Lines>37</Lines>
  <Paragraphs>10</Paragraphs>
  <ScaleCrop>false</ScaleCrop>
  <Company>De Montfort University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Safety-net regulations - February 2021</dc:title>
  <dc:creator>Windows User</dc:creator>
  <cp:lastModifiedBy>Gita Patel</cp:lastModifiedBy>
  <cp:revision>2</cp:revision>
  <dcterms:created xsi:type="dcterms:W3CDTF">2022-02-24T10:14:00Z</dcterms:created>
  <dcterms:modified xsi:type="dcterms:W3CDTF">2022-02-24T10:21:45Z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Acrobat PDFMaker 19 for Word</vt:lpwstr>
  </property>
  <property fmtid="{D5CDD505-2E9C-101B-9397-08002B2CF9AE}" pid="4" name="LastSaved">
    <vt:filetime>2022-02-24T00:00:00Z</vt:filetime>
  </property>
</Properties>
</file>