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026D" w:rsidP="00FE026D" w:rsidRDefault="00FE026D">
      <w:pPr>
        <w:pStyle w:val="Heading2"/>
      </w:pPr>
      <w:bookmarkStart w:name="_Toc507515637" w:id="0"/>
      <w:bookmarkStart w:name="_GoBack" w:id="1"/>
      <w:bookmarkEnd w:id="1"/>
      <w:r>
        <w:t>Undergraduate</w:t>
      </w:r>
      <w:bookmarkEnd w:id="0"/>
    </w:p>
    <w:p w:rsidR="000F6ED8" w:rsidP="000F6ED8" w:rsidRDefault="000F6ED8"/>
    <w:p w:rsidR="000F6ED8" w:rsidP="000F6ED8" w:rsidRDefault="000F6ED8">
      <w:pPr>
        <w:pStyle w:val="Heading3"/>
      </w:pPr>
      <w:bookmarkStart w:name="_Toc507515638" w:id="2"/>
      <w:bookmarkStart w:name="_Hlk73612208" w:id="3"/>
      <w:r>
        <w:t>Biomedical Science</w:t>
      </w:r>
      <w:r w:rsidRPr="007454F8">
        <w:t xml:space="preserve"> </w:t>
      </w:r>
      <w:r>
        <w:t>BSc (Hons), B90044</w:t>
      </w:r>
      <w:bookmarkEnd w:id="2"/>
    </w:p>
    <w:p w:rsidRPr="00FE026D" w:rsidR="000F6ED8" w:rsidP="000F6ED8" w:rsidRDefault="000F6ED8">
      <w:pPr>
        <w:pStyle w:val="NoSpacing"/>
      </w:pPr>
      <w:r>
        <w:t>Institute of Biomedical Science</w:t>
      </w:r>
    </w:p>
    <w:p w:rsidR="000F6ED8" w:rsidP="000F6ED8" w:rsidRDefault="000F6ED8">
      <w:pPr>
        <w:pStyle w:val="headingunderline"/>
      </w:pPr>
    </w:p>
    <w:p w:rsidR="000F6ED8" w:rsidP="000F6ED8" w:rsidRDefault="000F6ED8">
      <w:pPr>
        <w:pStyle w:val="Heading4"/>
      </w:pPr>
      <w:r>
        <w:t xml:space="preserve">Compensation </w:t>
      </w:r>
      <w:r>
        <w:tab/>
      </w:r>
    </w:p>
    <w:p w:rsidR="00144E0E" w:rsidP="000F6ED8" w:rsidRDefault="000F6ED8">
      <w:r>
        <w:t>Generic regulations apply at levels 4 and 5.</w:t>
      </w:r>
      <w:r w:rsidR="00E71A5D">
        <w:t xml:space="preserve"> </w:t>
      </w:r>
      <w:r>
        <w:t xml:space="preserve">All level 6 modules must be passed at 40 </w:t>
      </w:r>
      <w:r w:rsidR="00521BE4">
        <w:t>percent;</w:t>
      </w:r>
      <w:r w:rsidR="00144E0E">
        <w:t xml:space="preserve"> n</w:t>
      </w:r>
      <w:r>
        <w:t>o compensation is available.</w:t>
      </w:r>
      <w:r w:rsidR="00144E0E">
        <w:t xml:space="preserve"> </w:t>
      </w:r>
    </w:p>
    <w:p w:rsidR="00144E0E" w:rsidP="000F6ED8" w:rsidRDefault="00144E0E"/>
    <w:p w:rsidR="00144E0E" w:rsidP="00144E0E" w:rsidRDefault="00144E0E">
      <w:pPr>
        <w:pStyle w:val="Heading4"/>
      </w:pPr>
      <w:r>
        <w:t>Reassessment of failure</w:t>
      </w:r>
      <w:r>
        <w:tab/>
      </w:r>
    </w:p>
    <w:p w:rsidR="00521BE4" w:rsidP="00144E0E" w:rsidRDefault="00144E0E">
      <w:pPr>
        <w:rPr>
          <w:rFonts w:cs="Arial" w:asciiTheme="majorHAnsi" w:hAnsiTheme="majorHAnsi"/>
          <w:spacing w:val="1"/>
        </w:rPr>
      </w:pPr>
      <w:r w:rsidRPr="00D170B2">
        <w:rPr>
          <w:rFonts w:cs="Arial" w:asciiTheme="majorHAnsi" w:hAnsiTheme="majorHAnsi"/>
        </w:rPr>
        <w:t xml:space="preserve">Students on the programme are </w:t>
      </w:r>
      <w:r w:rsidRPr="00D170B2">
        <w:rPr>
          <w:rFonts w:cs="Arial" w:asciiTheme="majorHAnsi" w:hAnsiTheme="majorHAnsi"/>
          <w:spacing w:val="-1"/>
        </w:rPr>
        <w:t>p</w:t>
      </w:r>
      <w:r w:rsidRPr="00D170B2">
        <w:rPr>
          <w:rFonts w:cs="Arial" w:asciiTheme="majorHAnsi" w:hAnsiTheme="majorHAnsi"/>
        </w:rPr>
        <w:t>e</w:t>
      </w:r>
      <w:r w:rsidRPr="00D170B2">
        <w:rPr>
          <w:rFonts w:cs="Arial" w:asciiTheme="majorHAnsi" w:hAnsiTheme="majorHAnsi"/>
          <w:spacing w:val="-3"/>
        </w:rPr>
        <w:t>r</w:t>
      </w:r>
      <w:r w:rsidRPr="00D170B2">
        <w:rPr>
          <w:rFonts w:cs="Arial" w:asciiTheme="majorHAnsi" w:hAnsiTheme="majorHAnsi"/>
          <w:spacing w:val="1"/>
        </w:rPr>
        <w:t>m</w:t>
      </w:r>
      <w:r w:rsidRPr="00D170B2">
        <w:rPr>
          <w:rFonts w:cs="Arial" w:asciiTheme="majorHAnsi" w:hAnsiTheme="majorHAnsi"/>
          <w:spacing w:val="-1"/>
        </w:rPr>
        <w:t>i</w:t>
      </w:r>
      <w:r w:rsidRPr="00D170B2">
        <w:rPr>
          <w:rFonts w:cs="Arial" w:asciiTheme="majorHAnsi" w:hAnsiTheme="majorHAnsi"/>
          <w:spacing w:val="-2"/>
        </w:rPr>
        <w:t>t</w:t>
      </w:r>
      <w:r w:rsidRPr="00D170B2">
        <w:rPr>
          <w:rFonts w:cs="Arial" w:asciiTheme="majorHAnsi" w:hAnsiTheme="majorHAnsi"/>
        </w:rPr>
        <w:t>ted</w:t>
      </w:r>
      <w:r w:rsidRPr="00D170B2">
        <w:rPr>
          <w:rFonts w:cs="Arial" w:asciiTheme="majorHAnsi" w:hAnsiTheme="majorHAnsi"/>
          <w:spacing w:val="32"/>
        </w:rPr>
        <w:t xml:space="preserve"> </w:t>
      </w:r>
      <w:r w:rsidRPr="00D170B2">
        <w:rPr>
          <w:rFonts w:cs="Arial" w:asciiTheme="majorHAnsi" w:hAnsiTheme="majorHAnsi"/>
          <w:spacing w:val="-3"/>
        </w:rPr>
        <w:t>r</w:t>
      </w:r>
      <w:r w:rsidRPr="00D170B2">
        <w:rPr>
          <w:rFonts w:cs="Arial" w:asciiTheme="majorHAnsi" w:hAnsiTheme="majorHAnsi"/>
        </w:rPr>
        <w:t>e</w:t>
      </w:r>
      <w:r w:rsidRPr="00D170B2">
        <w:rPr>
          <w:rFonts w:cs="Arial" w:asciiTheme="majorHAnsi" w:hAnsiTheme="majorHAnsi"/>
          <w:spacing w:val="-3"/>
        </w:rPr>
        <w:t>a</w:t>
      </w:r>
      <w:r w:rsidRPr="00D170B2">
        <w:rPr>
          <w:rFonts w:cs="Arial" w:asciiTheme="majorHAnsi" w:hAnsiTheme="majorHAnsi"/>
          <w:spacing w:val="-1"/>
        </w:rPr>
        <w:t>ss</w:t>
      </w:r>
      <w:r w:rsidRPr="00D170B2">
        <w:rPr>
          <w:rFonts w:cs="Arial" w:asciiTheme="majorHAnsi" w:hAnsiTheme="majorHAnsi"/>
        </w:rPr>
        <w:t>es</w:t>
      </w:r>
      <w:r w:rsidRPr="00D170B2">
        <w:rPr>
          <w:rFonts w:cs="Arial" w:asciiTheme="majorHAnsi" w:hAnsiTheme="majorHAnsi"/>
          <w:spacing w:val="-3"/>
        </w:rPr>
        <w:t>s</w:t>
      </w:r>
      <w:r w:rsidRPr="00D170B2">
        <w:rPr>
          <w:rFonts w:cs="Arial" w:asciiTheme="majorHAnsi" w:hAnsiTheme="majorHAnsi"/>
          <w:spacing w:val="1"/>
        </w:rPr>
        <w:t>m</w:t>
      </w:r>
      <w:r w:rsidRPr="00D170B2">
        <w:rPr>
          <w:rFonts w:cs="Arial" w:asciiTheme="majorHAnsi" w:hAnsiTheme="majorHAnsi"/>
        </w:rPr>
        <w:t>e</w:t>
      </w:r>
      <w:r w:rsidRPr="00D170B2">
        <w:rPr>
          <w:rFonts w:cs="Arial" w:asciiTheme="majorHAnsi" w:hAnsiTheme="majorHAnsi"/>
          <w:spacing w:val="-1"/>
        </w:rPr>
        <w:t>n</w:t>
      </w:r>
      <w:r w:rsidRPr="00D170B2">
        <w:rPr>
          <w:rFonts w:cs="Arial" w:asciiTheme="majorHAnsi" w:hAnsiTheme="majorHAnsi"/>
        </w:rPr>
        <w:t>t</w:t>
      </w:r>
      <w:r w:rsidRPr="00D170B2">
        <w:rPr>
          <w:rFonts w:cs="Arial" w:asciiTheme="majorHAnsi" w:hAnsiTheme="majorHAnsi"/>
          <w:spacing w:val="32"/>
        </w:rPr>
        <w:t xml:space="preserve"> </w:t>
      </w:r>
      <w:r w:rsidRPr="00D170B2">
        <w:rPr>
          <w:rFonts w:cs="Arial" w:asciiTheme="majorHAnsi" w:hAnsiTheme="majorHAnsi"/>
          <w:spacing w:val="1"/>
        </w:rPr>
        <w:t>o</w:t>
      </w:r>
      <w:r w:rsidRPr="00D170B2">
        <w:rPr>
          <w:rFonts w:cs="Arial" w:asciiTheme="majorHAnsi" w:hAnsiTheme="majorHAnsi"/>
          <w:spacing w:val="-1"/>
        </w:rPr>
        <w:t>pp</w:t>
      </w:r>
      <w:r w:rsidRPr="00D170B2">
        <w:rPr>
          <w:rFonts w:cs="Arial" w:asciiTheme="majorHAnsi" w:hAnsiTheme="majorHAnsi"/>
          <w:spacing w:val="-2"/>
        </w:rPr>
        <w:t>o</w:t>
      </w:r>
      <w:r w:rsidRPr="00D170B2">
        <w:rPr>
          <w:rFonts w:cs="Arial" w:asciiTheme="majorHAnsi" w:hAnsiTheme="majorHAnsi"/>
          <w:spacing w:val="-1"/>
        </w:rPr>
        <w:t>r</w:t>
      </w:r>
      <w:r w:rsidRPr="00D170B2">
        <w:rPr>
          <w:rFonts w:cs="Arial" w:asciiTheme="majorHAnsi" w:hAnsiTheme="majorHAnsi"/>
        </w:rPr>
        <w:t>t</w:t>
      </w:r>
      <w:r w:rsidRPr="00D170B2">
        <w:rPr>
          <w:rFonts w:cs="Arial" w:asciiTheme="majorHAnsi" w:hAnsiTheme="majorHAnsi"/>
          <w:spacing w:val="-1"/>
        </w:rPr>
        <w:t>uni</w:t>
      </w:r>
      <w:r w:rsidRPr="00D170B2">
        <w:rPr>
          <w:rFonts w:cs="Arial" w:asciiTheme="majorHAnsi" w:hAnsiTheme="majorHAnsi"/>
        </w:rPr>
        <w:t>t</w:t>
      </w:r>
      <w:r w:rsidRPr="00D170B2">
        <w:rPr>
          <w:rFonts w:cs="Arial" w:asciiTheme="majorHAnsi" w:hAnsiTheme="majorHAnsi"/>
          <w:spacing w:val="-1"/>
        </w:rPr>
        <w:t>i</w:t>
      </w:r>
      <w:r w:rsidRPr="00D170B2">
        <w:rPr>
          <w:rFonts w:cs="Arial" w:asciiTheme="majorHAnsi" w:hAnsiTheme="majorHAnsi"/>
        </w:rPr>
        <w:t>es</w:t>
      </w:r>
      <w:r w:rsidRPr="00D170B2">
        <w:rPr>
          <w:rFonts w:cs="Arial" w:asciiTheme="majorHAnsi" w:hAnsiTheme="majorHAnsi"/>
          <w:spacing w:val="32"/>
        </w:rPr>
        <w:t xml:space="preserve"> </w:t>
      </w:r>
      <w:r w:rsidRPr="00D170B2">
        <w:rPr>
          <w:rFonts w:cs="Arial" w:asciiTheme="majorHAnsi" w:hAnsiTheme="majorHAnsi"/>
          <w:spacing w:val="-2"/>
        </w:rPr>
        <w:t>t</w:t>
      </w:r>
      <w:r w:rsidRPr="00D170B2">
        <w:rPr>
          <w:rFonts w:cs="Arial" w:asciiTheme="majorHAnsi" w:hAnsiTheme="majorHAnsi"/>
        </w:rPr>
        <w:t>o</w:t>
      </w:r>
      <w:r w:rsidRPr="00D170B2">
        <w:rPr>
          <w:rFonts w:cs="Arial" w:asciiTheme="majorHAnsi" w:hAnsiTheme="majorHAnsi"/>
          <w:spacing w:val="35"/>
        </w:rPr>
        <w:t xml:space="preserve"> </w:t>
      </w:r>
      <w:r w:rsidRPr="00D170B2">
        <w:rPr>
          <w:rFonts w:cs="Arial" w:asciiTheme="majorHAnsi" w:hAnsiTheme="majorHAnsi"/>
        </w:rPr>
        <w:t>a</w:t>
      </w:r>
      <w:r w:rsidRPr="00D170B2">
        <w:rPr>
          <w:rFonts w:cs="Arial" w:asciiTheme="majorHAnsi" w:hAnsiTheme="majorHAnsi"/>
          <w:spacing w:val="31"/>
        </w:rPr>
        <w:t xml:space="preserve"> </w:t>
      </w:r>
      <w:r w:rsidRPr="00D170B2">
        <w:rPr>
          <w:rFonts w:cs="Arial" w:asciiTheme="majorHAnsi" w:hAnsiTheme="majorHAnsi"/>
          <w:spacing w:val="1"/>
        </w:rPr>
        <w:t>m</w:t>
      </w:r>
      <w:r w:rsidRPr="00D170B2">
        <w:rPr>
          <w:rFonts w:cs="Arial" w:asciiTheme="majorHAnsi" w:hAnsiTheme="majorHAnsi"/>
          <w:spacing w:val="-1"/>
        </w:rPr>
        <w:t>a</w:t>
      </w:r>
      <w:r w:rsidRPr="00D170B2">
        <w:rPr>
          <w:rFonts w:cs="Arial" w:asciiTheme="majorHAnsi" w:hAnsiTheme="majorHAnsi"/>
        </w:rPr>
        <w:t>x</w:t>
      </w:r>
      <w:r w:rsidRPr="00D170B2">
        <w:rPr>
          <w:rFonts w:cs="Arial" w:asciiTheme="majorHAnsi" w:hAnsiTheme="majorHAnsi"/>
          <w:spacing w:val="-3"/>
        </w:rPr>
        <w:t>i</w:t>
      </w:r>
      <w:r w:rsidRPr="00D170B2">
        <w:rPr>
          <w:rFonts w:cs="Arial" w:asciiTheme="majorHAnsi" w:hAnsiTheme="majorHAnsi"/>
          <w:spacing w:val="1"/>
        </w:rPr>
        <w:t>m</w:t>
      </w:r>
      <w:r w:rsidRPr="00D170B2">
        <w:rPr>
          <w:rFonts w:cs="Arial" w:asciiTheme="majorHAnsi" w:hAnsiTheme="majorHAnsi"/>
          <w:spacing w:val="-4"/>
        </w:rPr>
        <w:t>u</w:t>
      </w:r>
      <w:r w:rsidRPr="00D170B2">
        <w:rPr>
          <w:rFonts w:cs="Arial" w:asciiTheme="majorHAnsi" w:hAnsiTheme="majorHAnsi"/>
        </w:rPr>
        <w:t>m</w:t>
      </w:r>
      <w:r w:rsidRPr="00D170B2">
        <w:rPr>
          <w:rFonts w:cs="Arial" w:asciiTheme="majorHAnsi" w:hAnsiTheme="majorHAnsi"/>
          <w:spacing w:val="33"/>
        </w:rPr>
        <w:t xml:space="preserve"> </w:t>
      </w:r>
      <w:r w:rsidR="00521BE4">
        <w:rPr>
          <w:rFonts w:cs="Arial" w:asciiTheme="majorHAnsi" w:hAnsiTheme="majorHAnsi"/>
          <w:spacing w:val="1"/>
        </w:rPr>
        <w:t>of</w:t>
      </w:r>
    </w:p>
    <w:p w:rsidRPr="0046676E" w:rsidR="00144E0E" w:rsidP="00144E0E" w:rsidRDefault="00521BE4">
      <w:pPr>
        <w:rPr>
          <w:rFonts w:asciiTheme="majorHAnsi" w:hAnsiTheme="majorHAnsi"/>
          <w:b/>
          <w:color w:val="548AB7" w:themeColor="accent1" w:themeShade="BF"/>
        </w:rPr>
      </w:pPr>
      <w:r>
        <w:rPr>
          <w:rFonts w:cs="Arial" w:asciiTheme="majorHAnsi" w:hAnsiTheme="majorHAnsi"/>
          <w:spacing w:val="34"/>
        </w:rPr>
        <w:t xml:space="preserve">60 </w:t>
      </w:r>
      <w:r w:rsidRPr="00D170B2" w:rsidR="00144E0E">
        <w:rPr>
          <w:rFonts w:cs="Arial" w:asciiTheme="majorHAnsi" w:hAnsiTheme="majorHAnsi"/>
          <w:spacing w:val="-3"/>
        </w:rPr>
        <w:t>c</w:t>
      </w:r>
      <w:r w:rsidRPr="00D170B2" w:rsidR="00144E0E">
        <w:rPr>
          <w:rFonts w:cs="Arial" w:asciiTheme="majorHAnsi" w:hAnsiTheme="majorHAnsi"/>
          <w:spacing w:val="-1"/>
        </w:rPr>
        <w:t>r</w:t>
      </w:r>
      <w:r w:rsidRPr="00D170B2" w:rsidR="00144E0E">
        <w:rPr>
          <w:rFonts w:cs="Arial" w:asciiTheme="majorHAnsi" w:hAnsiTheme="majorHAnsi"/>
        </w:rPr>
        <w:t>e</w:t>
      </w:r>
      <w:r w:rsidRPr="00D170B2" w:rsidR="00144E0E">
        <w:rPr>
          <w:rFonts w:cs="Arial" w:asciiTheme="majorHAnsi" w:hAnsiTheme="majorHAnsi"/>
          <w:spacing w:val="-1"/>
        </w:rPr>
        <w:t>d</w:t>
      </w:r>
      <w:r w:rsidRPr="00D170B2" w:rsidR="00144E0E">
        <w:rPr>
          <w:rFonts w:cs="Arial" w:asciiTheme="majorHAnsi" w:hAnsiTheme="majorHAnsi"/>
          <w:spacing w:val="-3"/>
        </w:rPr>
        <w:t>i</w:t>
      </w:r>
      <w:r w:rsidRPr="00D170B2" w:rsidR="00144E0E">
        <w:rPr>
          <w:rFonts w:cs="Arial" w:asciiTheme="majorHAnsi" w:hAnsiTheme="majorHAnsi"/>
        </w:rPr>
        <w:t>ts</w:t>
      </w:r>
      <w:r w:rsidR="00144E0E">
        <w:rPr>
          <w:rFonts w:cs="Arial" w:asciiTheme="majorHAnsi" w:hAnsiTheme="majorHAnsi"/>
        </w:rPr>
        <w:t xml:space="preserve"> for Level 4</w:t>
      </w:r>
      <w:r>
        <w:rPr>
          <w:rFonts w:cs="Arial" w:asciiTheme="majorHAnsi" w:hAnsiTheme="majorHAnsi"/>
        </w:rPr>
        <w:t xml:space="preserve">, </w:t>
      </w:r>
      <w:r w:rsidR="00144E0E">
        <w:rPr>
          <w:rFonts w:cs="Arial" w:asciiTheme="majorHAnsi" w:hAnsiTheme="majorHAnsi"/>
        </w:rPr>
        <w:t>Level 5</w:t>
      </w:r>
      <w:r>
        <w:rPr>
          <w:rFonts w:cs="Arial" w:asciiTheme="majorHAnsi" w:hAnsiTheme="majorHAnsi"/>
        </w:rPr>
        <w:t xml:space="preserve"> and Level 6 </w:t>
      </w:r>
      <w:r w:rsidRPr="00D170B2" w:rsidR="00144E0E">
        <w:rPr>
          <w:rFonts w:cs="Arial" w:asciiTheme="majorHAnsi" w:hAnsiTheme="majorHAnsi"/>
          <w:spacing w:val="-1"/>
        </w:rPr>
        <w:t>i</w:t>
      </w:r>
      <w:r w:rsidRPr="00D170B2" w:rsidR="00144E0E">
        <w:rPr>
          <w:rFonts w:cs="Arial" w:asciiTheme="majorHAnsi" w:hAnsiTheme="majorHAnsi"/>
        </w:rPr>
        <w:t>n</w:t>
      </w:r>
      <w:r w:rsidRPr="00D170B2" w:rsidR="00144E0E">
        <w:rPr>
          <w:rFonts w:cs="Arial" w:asciiTheme="majorHAnsi" w:hAnsiTheme="majorHAnsi"/>
          <w:spacing w:val="-1"/>
        </w:rPr>
        <w:t xml:space="preserve"> an</w:t>
      </w:r>
      <w:r w:rsidRPr="00D170B2" w:rsidR="00144E0E">
        <w:rPr>
          <w:rFonts w:cs="Arial" w:asciiTheme="majorHAnsi" w:hAnsiTheme="majorHAnsi"/>
        </w:rPr>
        <w:t>y</w:t>
      </w:r>
      <w:r w:rsidRPr="00D170B2" w:rsidR="00144E0E">
        <w:rPr>
          <w:rFonts w:cs="Arial" w:asciiTheme="majorHAnsi" w:hAnsiTheme="majorHAnsi"/>
          <w:spacing w:val="1"/>
        </w:rPr>
        <w:t xml:space="preserve"> </w:t>
      </w:r>
      <w:r w:rsidRPr="00D170B2" w:rsidR="00144E0E">
        <w:rPr>
          <w:rFonts w:cs="Arial" w:asciiTheme="majorHAnsi" w:hAnsiTheme="majorHAnsi"/>
          <w:spacing w:val="-4"/>
        </w:rPr>
        <w:t>p</w:t>
      </w:r>
      <w:r w:rsidRPr="00D170B2" w:rsidR="00144E0E">
        <w:rPr>
          <w:rFonts w:cs="Arial" w:asciiTheme="majorHAnsi" w:hAnsiTheme="majorHAnsi"/>
        </w:rPr>
        <w:t>e</w:t>
      </w:r>
      <w:r w:rsidRPr="00D170B2" w:rsidR="00144E0E">
        <w:rPr>
          <w:rFonts w:cs="Arial" w:asciiTheme="majorHAnsi" w:hAnsiTheme="majorHAnsi"/>
          <w:spacing w:val="-1"/>
        </w:rPr>
        <w:t>r</w:t>
      </w:r>
      <w:r w:rsidRPr="00D170B2" w:rsidR="00144E0E">
        <w:rPr>
          <w:rFonts w:cs="Arial" w:asciiTheme="majorHAnsi" w:hAnsiTheme="majorHAnsi"/>
          <w:spacing w:val="1"/>
        </w:rPr>
        <w:t>m</w:t>
      </w:r>
      <w:r w:rsidRPr="00D170B2" w:rsidR="00144E0E">
        <w:rPr>
          <w:rFonts w:cs="Arial" w:asciiTheme="majorHAnsi" w:hAnsiTheme="majorHAnsi"/>
          <w:spacing w:val="-4"/>
        </w:rPr>
        <w:t>u</w:t>
      </w:r>
      <w:r w:rsidRPr="00D170B2" w:rsidR="00144E0E">
        <w:rPr>
          <w:rFonts w:cs="Arial" w:asciiTheme="majorHAnsi" w:hAnsiTheme="majorHAnsi"/>
        </w:rPr>
        <w:t>t</w:t>
      </w:r>
      <w:r w:rsidRPr="00D170B2" w:rsidR="00144E0E">
        <w:rPr>
          <w:rFonts w:cs="Arial" w:asciiTheme="majorHAnsi" w:hAnsiTheme="majorHAnsi"/>
          <w:spacing w:val="-1"/>
        </w:rPr>
        <w:t>a</w:t>
      </w:r>
      <w:r w:rsidRPr="00D170B2" w:rsidR="00144E0E">
        <w:rPr>
          <w:rFonts w:cs="Arial" w:asciiTheme="majorHAnsi" w:hAnsiTheme="majorHAnsi"/>
        </w:rPr>
        <w:t>t</w:t>
      </w:r>
      <w:r w:rsidRPr="00D170B2" w:rsidR="00144E0E">
        <w:rPr>
          <w:rFonts w:cs="Arial" w:asciiTheme="majorHAnsi" w:hAnsiTheme="majorHAnsi"/>
          <w:spacing w:val="-3"/>
        </w:rPr>
        <w:t>i</w:t>
      </w:r>
      <w:r w:rsidRPr="00D170B2" w:rsidR="00144E0E">
        <w:rPr>
          <w:rFonts w:cs="Arial" w:asciiTheme="majorHAnsi" w:hAnsiTheme="majorHAnsi"/>
          <w:spacing w:val="1"/>
        </w:rPr>
        <w:t>o</w:t>
      </w:r>
      <w:r w:rsidRPr="00D170B2" w:rsidR="00144E0E">
        <w:rPr>
          <w:rFonts w:cs="Arial" w:asciiTheme="majorHAnsi" w:hAnsiTheme="majorHAnsi"/>
        </w:rPr>
        <w:t>n</w:t>
      </w:r>
      <w:r w:rsidRPr="00D170B2" w:rsidR="00144E0E">
        <w:rPr>
          <w:rFonts w:cs="Arial" w:asciiTheme="majorHAnsi" w:hAnsiTheme="majorHAnsi"/>
          <w:spacing w:val="-1"/>
        </w:rPr>
        <w:t xml:space="preserve"> </w:t>
      </w:r>
      <w:r w:rsidRPr="00D170B2" w:rsidR="00144E0E">
        <w:rPr>
          <w:rFonts w:cs="Arial" w:asciiTheme="majorHAnsi" w:hAnsiTheme="majorHAnsi"/>
          <w:spacing w:val="-2"/>
        </w:rPr>
        <w:t>o</w:t>
      </w:r>
      <w:r w:rsidRPr="00D170B2" w:rsidR="00144E0E">
        <w:rPr>
          <w:rFonts w:cs="Arial" w:asciiTheme="majorHAnsi" w:hAnsiTheme="majorHAnsi"/>
        </w:rPr>
        <w:t>r c</w:t>
      </w:r>
      <w:r w:rsidRPr="00D170B2" w:rsidR="00144E0E">
        <w:rPr>
          <w:rFonts w:cs="Arial" w:asciiTheme="majorHAnsi" w:hAnsiTheme="majorHAnsi"/>
          <w:spacing w:val="-2"/>
        </w:rPr>
        <w:t>o</w:t>
      </w:r>
      <w:r w:rsidRPr="00D170B2" w:rsidR="00144E0E">
        <w:rPr>
          <w:rFonts w:cs="Arial" w:asciiTheme="majorHAnsi" w:hAnsiTheme="majorHAnsi"/>
          <w:spacing w:val="1"/>
        </w:rPr>
        <w:t>m</w:t>
      </w:r>
      <w:r w:rsidRPr="00D170B2" w:rsidR="00144E0E">
        <w:rPr>
          <w:rFonts w:cs="Arial" w:asciiTheme="majorHAnsi" w:hAnsiTheme="majorHAnsi"/>
          <w:spacing w:val="-1"/>
        </w:rPr>
        <w:t>bina</w:t>
      </w:r>
      <w:r w:rsidRPr="00D170B2" w:rsidR="00144E0E">
        <w:rPr>
          <w:rFonts w:cs="Arial" w:asciiTheme="majorHAnsi" w:hAnsiTheme="majorHAnsi"/>
        </w:rPr>
        <w:t>t</w:t>
      </w:r>
      <w:r w:rsidRPr="00D170B2" w:rsidR="00144E0E">
        <w:rPr>
          <w:rFonts w:cs="Arial" w:asciiTheme="majorHAnsi" w:hAnsiTheme="majorHAnsi"/>
          <w:spacing w:val="-3"/>
        </w:rPr>
        <w:t>i</w:t>
      </w:r>
      <w:r w:rsidRPr="00D170B2" w:rsidR="00144E0E">
        <w:rPr>
          <w:rFonts w:cs="Arial" w:asciiTheme="majorHAnsi" w:hAnsiTheme="majorHAnsi"/>
          <w:spacing w:val="1"/>
        </w:rPr>
        <w:t>o</w:t>
      </w:r>
      <w:r w:rsidRPr="00D170B2" w:rsidR="00144E0E">
        <w:rPr>
          <w:rFonts w:cs="Arial" w:asciiTheme="majorHAnsi" w:hAnsiTheme="majorHAnsi"/>
        </w:rPr>
        <w:t>n</w:t>
      </w:r>
      <w:r w:rsidRPr="00D170B2" w:rsidR="00144E0E">
        <w:rPr>
          <w:rFonts w:cs="Arial" w:asciiTheme="majorHAnsi" w:hAnsiTheme="majorHAnsi"/>
          <w:spacing w:val="-1"/>
        </w:rPr>
        <w:t xml:space="preserve"> </w:t>
      </w:r>
      <w:r w:rsidRPr="00D170B2" w:rsidR="00144E0E">
        <w:rPr>
          <w:rFonts w:cs="Arial" w:asciiTheme="majorHAnsi" w:hAnsiTheme="majorHAnsi"/>
          <w:spacing w:val="1"/>
        </w:rPr>
        <w:t>o</w:t>
      </w:r>
      <w:r w:rsidRPr="00D170B2" w:rsidR="00144E0E">
        <w:rPr>
          <w:rFonts w:cs="Arial" w:asciiTheme="majorHAnsi" w:hAnsiTheme="majorHAnsi"/>
        </w:rPr>
        <w:t>f</w:t>
      </w:r>
      <w:r w:rsidRPr="00D170B2" w:rsidR="00144E0E">
        <w:rPr>
          <w:rFonts w:cs="Arial" w:asciiTheme="majorHAnsi" w:hAnsiTheme="majorHAnsi"/>
          <w:spacing w:val="-3"/>
        </w:rPr>
        <w:t xml:space="preserve"> </w:t>
      </w:r>
      <w:r w:rsidRPr="00D170B2" w:rsidR="00144E0E">
        <w:rPr>
          <w:rFonts w:cs="Arial" w:asciiTheme="majorHAnsi" w:hAnsiTheme="majorHAnsi"/>
          <w:spacing w:val="-2"/>
        </w:rPr>
        <w:t>m</w:t>
      </w:r>
      <w:r w:rsidRPr="00D170B2" w:rsidR="00144E0E">
        <w:rPr>
          <w:rFonts w:cs="Arial" w:asciiTheme="majorHAnsi" w:hAnsiTheme="majorHAnsi"/>
          <w:spacing w:val="1"/>
        </w:rPr>
        <w:t>o</w:t>
      </w:r>
      <w:r w:rsidRPr="00D170B2" w:rsidR="00144E0E">
        <w:rPr>
          <w:rFonts w:cs="Arial" w:asciiTheme="majorHAnsi" w:hAnsiTheme="majorHAnsi"/>
          <w:spacing w:val="-1"/>
        </w:rPr>
        <w:t>dul</w:t>
      </w:r>
      <w:r w:rsidRPr="00D170B2" w:rsidR="00144E0E">
        <w:rPr>
          <w:rFonts w:cs="Arial" w:asciiTheme="majorHAnsi" w:hAnsiTheme="majorHAnsi"/>
        </w:rPr>
        <w:t>e</w:t>
      </w:r>
      <w:r w:rsidRPr="00D170B2" w:rsidR="00144E0E">
        <w:rPr>
          <w:rFonts w:cs="Arial" w:asciiTheme="majorHAnsi" w:hAnsiTheme="majorHAnsi"/>
          <w:spacing w:val="-2"/>
        </w:rPr>
        <w:t xml:space="preserve"> </w:t>
      </w:r>
      <w:r w:rsidRPr="00D170B2" w:rsidR="00144E0E">
        <w:rPr>
          <w:rFonts w:cs="Arial" w:asciiTheme="majorHAnsi" w:hAnsiTheme="majorHAnsi"/>
          <w:spacing w:val="-1"/>
        </w:rPr>
        <w:t>siz</w:t>
      </w:r>
      <w:r w:rsidRPr="00D170B2" w:rsidR="00144E0E">
        <w:rPr>
          <w:rFonts w:cs="Arial" w:asciiTheme="majorHAnsi" w:hAnsiTheme="majorHAnsi"/>
        </w:rPr>
        <w:t>e</w:t>
      </w:r>
      <w:r w:rsidRPr="00D170B2" w:rsidR="00144E0E">
        <w:rPr>
          <w:rFonts w:cs="Arial" w:asciiTheme="majorHAnsi" w:hAnsiTheme="majorHAnsi"/>
          <w:spacing w:val="-1"/>
        </w:rPr>
        <w:t>s</w:t>
      </w:r>
      <w:r w:rsidRPr="00D170B2" w:rsidR="00144E0E">
        <w:rPr>
          <w:rFonts w:cs="Arial" w:asciiTheme="majorHAnsi" w:hAnsiTheme="majorHAnsi"/>
        </w:rPr>
        <w:t>.</w:t>
      </w:r>
    </w:p>
    <w:bookmarkEnd w:id="3"/>
    <w:p w:rsidR="00144E0E" w:rsidP="000F6ED8" w:rsidRDefault="00144E0E"/>
    <w:p w:rsidR="000F6ED8" w:rsidP="000F6ED8" w:rsidRDefault="000F6ED8"/>
    <w:p w:rsidR="00E71A5D" w:rsidP="00E71A5D" w:rsidRDefault="00E71A5D">
      <w:pPr>
        <w:pStyle w:val="Heading4"/>
      </w:pPr>
      <w:r>
        <w:t>BIOM1066</w:t>
      </w:r>
    </w:p>
    <w:p w:rsidR="00E71A5D" w:rsidP="00E71A5D" w:rsidRDefault="00E71A5D">
      <w:r>
        <w:t xml:space="preserve">This is a </w:t>
      </w:r>
      <w:r w:rsidR="009D59B8">
        <w:t>zero-credit</w:t>
      </w:r>
      <w:r>
        <w:t xml:space="preserve"> weighted module. Resit opportunities are limited to two attempts.</w:t>
      </w:r>
    </w:p>
    <w:p w:rsidR="00E71A5D" w:rsidP="00E71A5D" w:rsidRDefault="00E71A5D"/>
    <w:p w:rsidR="000F6ED8" w:rsidP="000F6ED8" w:rsidRDefault="0046676E">
      <w:pPr>
        <w:rPr>
          <w:rFonts w:cs="Courier New" w:asciiTheme="majorHAnsi" w:hAnsiTheme="majorHAnsi"/>
          <w:b/>
          <w:color w:val="548AB7" w:themeColor="accent1" w:themeShade="BF"/>
          <w:sz w:val="24"/>
          <w:szCs w:val="24"/>
        </w:rPr>
      </w:pPr>
      <w:r w:rsidRPr="0046676E">
        <w:rPr>
          <w:rFonts w:cs="Courier New" w:asciiTheme="majorHAnsi" w:hAnsiTheme="majorHAnsi"/>
          <w:b/>
          <w:color w:val="548AB7" w:themeColor="accent1" w:themeShade="BF"/>
          <w:sz w:val="24"/>
          <w:szCs w:val="24"/>
        </w:rPr>
        <w:t>Children, Young People and Families L54011</w:t>
      </w:r>
    </w:p>
    <w:p w:rsidRPr="0046676E" w:rsidR="0046676E" w:rsidP="000F6ED8" w:rsidRDefault="0046676E">
      <w:pPr>
        <w:rPr>
          <w:rFonts w:cs="Courier New" w:asciiTheme="majorHAnsi" w:hAnsiTheme="majorHAnsi"/>
          <w:b/>
          <w:color w:val="548AB7" w:themeColor="accent1" w:themeShade="BF"/>
          <w:sz w:val="24"/>
          <w:szCs w:val="24"/>
        </w:rPr>
      </w:pPr>
      <w:r>
        <w:rPr>
          <w:rFonts w:cs="Courier New" w:asciiTheme="majorHAnsi" w:hAnsiTheme="majorHAnsi"/>
          <w:b/>
          <w:color w:val="548AB7" w:themeColor="accent1" w:themeShade="BF"/>
          <w:sz w:val="24"/>
          <w:szCs w:val="24"/>
        </w:rPr>
        <w:t>__________________________________________________________________________________</w:t>
      </w:r>
    </w:p>
    <w:p w:rsidR="0046676E" w:rsidP="0046676E" w:rsidRDefault="0046676E">
      <w:pPr>
        <w:pStyle w:val="Heading4"/>
      </w:pPr>
      <w:r>
        <w:t>Passing a module/Compensation</w:t>
      </w:r>
    </w:p>
    <w:p w:rsidR="0046676E" w:rsidP="0046676E" w:rsidRDefault="0046676E">
      <w:r>
        <w:t xml:space="preserve">All module components must be passed at 40 per cent. No compensation is available. </w:t>
      </w:r>
    </w:p>
    <w:p w:rsidR="00A9790B" w:rsidP="0046676E" w:rsidRDefault="00A9790B">
      <w:pPr>
        <w:rPr>
          <w:color w:val="000000"/>
        </w:rPr>
      </w:pPr>
      <w:r>
        <w:rPr>
          <w:color w:val="000000"/>
        </w:rPr>
        <w:t>Students must satisfy the attendance requirement of 70 per cent for all academic modules.</w:t>
      </w:r>
    </w:p>
    <w:p w:rsidRPr="00AB3917" w:rsidR="00AB3917" w:rsidP="00AB3917" w:rsidRDefault="00AB3917">
      <w:pPr>
        <w:rPr>
          <w:rFonts w:eastAsia="Times New Roman" w:cs="Arial"/>
          <w:noProof/>
        </w:rPr>
      </w:pPr>
      <w:r w:rsidRPr="00AB3917">
        <w:rPr>
          <w:rFonts w:eastAsia="Times New Roman" w:cs="Arial"/>
          <w:noProof/>
        </w:rPr>
        <w:t>As this is an apprenticeship, learners must complete a set number of off the job (OJT) training hours of which the Cert HE forms part of (OJT hours are calculated during onboarding and take into consideration- contracted hours per week/annual leave and bank holidays across the length of the apprenticeship; therefore OJT hours will vary for each apprentice)</w:t>
      </w:r>
      <w:r>
        <w:rPr>
          <w:rFonts w:eastAsia="Times New Roman" w:cs="Arial"/>
          <w:noProof/>
        </w:rPr>
        <w:t>.</w:t>
      </w:r>
    </w:p>
    <w:p w:rsidR="00AB3917" w:rsidP="0046676E" w:rsidRDefault="00AB3917"/>
    <w:p w:rsidR="0046676E" w:rsidP="000F6ED8" w:rsidRDefault="0046676E">
      <w:pPr>
        <w:rPr>
          <w:rFonts w:asciiTheme="majorHAnsi" w:hAnsiTheme="majorHAnsi"/>
          <w:b/>
          <w:color w:val="548AB7" w:themeColor="accent1" w:themeShade="BF"/>
        </w:rPr>
      </w:pPr>
    </w:p>
    <w:p w:rsidR="0046676E" w:rsidP="0046676E" w:rsidRDefault="0046676E">
      <w:pPr>
        <w:pStyle w:val="Heading4"/>
      </w:pPr>
      <w:r>
        <w:t>Reassessment of failure</w:t>
      </w:r>
      <w:r>
        <w:tab/>
      </w:r>
    </w:p>
    <w:p w:rsidRPr="0046676E" w:rsidR="0046676E" w:rsidP="000F6ED8" w:rsidRDefault="0046676E">
      <w:pPr>
        <w:rPr>
          <w:rFonts w:asciiTheme="majorHAnsi" w:hAnsiTheme="majorHAnsi"/>
          <w:b/>
          <w:color w:val="548AB7" w:themeColor="accent1" w:themeShade="BF"/>
        </w:rPr>
      </w:pPr>
      <w:r w:rsidRPr="00D170B2">
        <w:rPr>
          <w:rFonts w:cs="Arial" w:asciiTheme="majorHAnsi" w:hAnsiTheme="majorHAnsi"/>
        </w:rPr>
        <w:t xml:space="preserve">Students on the programme are </w:t>
      </w:r>
      <w:r w:rsidRPr="00D170B2">
        <w:rPr>
          <w:rFonts w:cs="Arial" w:asciiTheme="majorHAnsi" w:hAnsiTheme="majorHAnsi"/>
          <w:spacing w:val="-1"/>
        </w:rPr>
        <w:t>p</w:t>
      </w:r>
      <w:r w:rsidRPr="00D170B2">
        <w:rPr>
          <w:rFonts w:cs="Arial" w:asciiTheme="majorHAnsi" w:hAnsiTheme="majorHAnsi"/>
        </w:rPr>
        <w:t>e</w:t>
      </w:r>
      <w:r w:rsidRPr="00D170B2">
        <w:rPr>
          <w:rFonts w:cs="Arial" w:asciiTheme="majorHAnsi" w:hAnsiTheme="majorHAnsi"/>
          <w:spacing w:val="-3"/>
        </w:rPr>
        <w:t>r</w:t>
      </w:r>
      <w:r w:rsidRPr="00D170B2">
        <w:rPr>
          <w:rFonts w:cs="Arial" w:asciiTheme="majorHAnsi" w:hAnsiTheme="majorHAnsi"/>
          <w:spacing w:val="1"/>
        </w:rPr>
        <w:t>m</w:t>
      </w:r>
      <w:r w:rsidRPr="00D170B2">
        <w:rPr>
          <w:rFonts w:cs="Arial" w:asciiTheme="majorHAnsi" w:hAnsiTheme="majorHAnsi"/>
          <w:spacing w:val="-1"/>
        </w:rPr>
        <w:t>i</w:t>
      </w:r>
      <w:r w:rsidRPr="00D170B2">
        <w:rPr>
          <w:rFonts w:cs="Arial" w:asciiTheme="majorHAnsi" w:hAnsiTheme="majorHAnsi"/>
          <w:spacing w:val="-2"/>
        </w:rPr>
        <w:t>t</w:t>
      </w:r>
      <w:r w:rsidRPr="00D170B2">
        <w:rPr>
          <w:rFonts w:cs="Arial" w:asciiTheme="majorHAnsi" w:hAnsiTheme="majorHAnsi"/>
        </w:rPr>
        <w:t>ted</w:t>
      </w:r>
      <w:r w:rsidRPr="00D170B2">
        <w:rPr>
          <w:rFonts w:cs="Arial" w:asciiTheme="majorHAnsi" w:hAnsiTheme="majorHAnsi"/>
          <w:spacing w:val="32"/>
        </w:rPr>
        <w:t xml:space="preserve"> </w:t>
      </w:r>
      <w:r w:rsidRPr="00D170B2">
        <w:rPr>
          <w:rFonts w:cs="Arial" w:asciiTheme="majorHAnsi" w:hAnsiTheme="majorHAnsi"/>
          <w:spacing w:val="-3"/>
        </w:rPr>
        <w:t>r</w:t>
      </w:r>
      <w:r w:rsidRPr="00D170B2">
        <w:rPr>
          <w:rFonts w:cs="Arial" w:asciiTheme="majorHAnsi" w:hAnsiTheme="majorHAnsi"/>
        </w:rPr>
        <w:t>e</w:t>
      </w:r>
      <w:r w:rsidRPr="00D170B2">
        <w:rPr>
          <w:rFonts w:cs="Arial" w:asciiTheme="majorHAnsi" w:hAnsiTheme="majorHAnsi"/>
          <w:spacing w:val="-3"/>
        </w:rPr>
        <w:t>a</w:t>
      </w:r>
      <w:r w:rsidRPr="00D170B2">
        <w:rPr>
          <w:rFonts w:cs="Arial" w:asciiTheme="majorHAnsi" w:hAnsiTheme="majorHAnsi"/>
          <w:spacing w:val="-1"/>
        </w:rPr>
        <w:t>ss</w:t>
      </w:r>
      <w:r w:rsidRPr="00D170B2">
        <w:rPr>
          <w:rFonts w:cs="Arial" w:asciiTheme="majorHAnsi" w:hAnsiTheme="majorHAnsi"/>
        </w:rPr>
        <w:t>es</w:t>
      </w:r>
      <w:r w:rsidRPr="00D170B2">
        <w:rPr>
          <w:rFonts w:cs="Arial" w:asciiTheme="majorHAnsi" w:hAnsiTheme="majorHAnsi"/>
          <w:spacing w:val="-3"/>
        </w:rPr>
        <w:t>s</w:t>
      </w:r>
      <w:r w:rsidRPr="00D170B2">
        <w:rPr>
          <w:rFonts w:cs="Arial" w:asciiTheme="majorHAnsi" w:hAnsiTheme="majorHAnsi"/>
          <w:spacing w:val="1"/>
        </w:rPr>
        <w:t>m</w:t>
      </w:r>
      <w:r w:rsidRPr="00D170B2">
        <w:rPr>
          <w:rFonts w:cs="Arial" w:asciiTheme="majorHAnsi" w:hAnsiTheme="majorHAnsi"/>
        </w:rPr>
        <w:t>e</w:t>
      </w:r>
      <w:r w:rsidRPr="00D170B2">
        <w:rPr>
          <w:rFonts w:cs="Arial" w:asciiTheme="majorHAnsi" w:hAnsiTheme="majorHAnsi"/>
          <w:spacing w:val="-1"/>
        </w:rPr>
        <w:t>n</w:t>
      </w:r>
      <w:r w:rsidRPr="00D170B2">
        <w:rPr>
          <w:rFonts w:cs="Arial" w:asciiTheme="majorHAnsi" w:hAnsiTheme="majorHAnsi"/>
        </w:rPr>
        <w:t>t</w:t>
      </w:r>
      <w:r w:rsidRPr="00D170B2">
        <w:rPr>
          <w:rFonts w:cs="Arial" w:asciiTheme="majorHAnsi" w:hAnsiTheme="majorHAnsi"/>
          <w:spacing w:val="32"/>
        </w:rPr>
        <w:t xml:space="preserve"> </w:t>
      </w:r>
      <w:r w:rsidRPr="00D170B2">
        <w:rPr>
          <w:rFonts w:cs="Arial" w:asciiTheme="majorHAnsi" w:hAnsiTheme="majorHAnsi"/>
          <w:spacing w:val="1"/>
        </w:rPr>
        <w:t>o</w:t>
      </w:r>
      <w:r w:rsidRPr="00D170B2">
        <w:rPr>
          <w:rFonts w:cs="Arial" w:asciiTheme="majorHAnsi" w:hAnsiTheme="majorHAnsi"/>
          <w:spacing w:val="-1"/>
        </w:rPr>
        <w:t>pp</w:t>
      </w:r>
      <w:r w:rsidRPr="00D170B2">
        <w:rPr>
          <w:rFonts w:cs="Arial" w:asciiTheme="majorHAnsi" w:hAnsiTheme="majorHAnsi"/>
          <w:spacing w:val="-2"/>
        </w:rPr>
        <w:t>o</w:t>
      </w:r>
      <w:r w:rsidRPr="00D170B2">
        <w:rPr>
          <w:rFonts w:cs="Arial" w:asciiTheme="majorHAnsi" w:hAnsiTheme="majorHAnsi"/>
          <w:spacing w:val="-1"/>
        </w:rPr>
        <w:t>r</w:t>
      </w:r>
      <w:r w:rsidRPr="00D170B2">
        <w:rPr>
          <w:rFonts w:cs="Arial" w:asciiTheme="majorHAnsi" w:hAnsiTheme="majorHAnsi"/>
        </w:rPr>
        <w:t>t</w:t>
      </w:r>
      <w:r w:rsidRPr="00D170B2">
        <w:rPr>
          <w:rFonts w:cs="Arial" w:asciiTheme="majorHAnsi" w:hAnsiTheme="majorHAnsi"/>
          <w:spacing w:val="-1"/>
        </w:rPr>
        <w:t>uni</w:t>
      </w:r>
      <w:r w:rsidRPr="00D170B2">
        <w:rPr>
          <w:rFonts w:cs="Arial" w:asciiTheme="majorHAnsi" w:hAnsiTheme="majorHAnsi"/>
        </w:rPr>
        <w:t>t</w:t>
      </w:r>
      <w:r w:rsidRPr="00D170B2">
        <w:rPr>
          <w:rFonts w:cs="Arial" w:asciiTheme="majorHAnsi" w:hAnsiTheme="majorHAnsi"/>
          <w:spacing w:val="-1"/>
        </w:rPr>
        <w:t>i</w:t>
      </w:r>
      <w:r w:rsidRPr="00D170B2">
        <w:rPr>
          <w:rFonts w:cs="Arial" w:asciiTheme="majorHAnsi" w:hAnsiTheme="majorHAnsi"/>
        </w:rPr>
        <w:t>es</w:t>
      </w:r>
      <w:r w:rsidRPr="00D170B2">
        <w:rPr>
          <w:rFonts w:cs="Arial" w:asciiTheme="majorHAnsi" w:hAnsiTheme="majorHAnsi"/>
          <w:spacing w:val="32"/>
        </w:rPr>
        <w:t xml:space="preserve"> </w:t>
      </w:r>
      <w:r w:rsidRPr="00D170B2">
        <w:rPr>
          <w:rFonts w:cs="Arial" w:asciiTheme="majorHAnsi" w:hAnsiTheme="majorHAnsi"/>
          <w:spacing w:val="-2"/>
        </w:rPr>
        <w:t>t</w:t>
      </w:r>
      <w:r w:rsidRPr="00D170B2">
        <w:rPr>
          <w:rFonts w:cs="Arial" w:asciiTheme="majorHAnsi" w:hAnsiTheme="majorHAnsi"/>
        </w:rPr>
        <w:t>o</w:t>
      </w:r>
      <w:r w:rsidRPr="00D170B2">
        <w:rPr>
          <w:rFonts w:cs="Arial" w:asciiTheme="majorHAnsi" w:hAnsiTheme="majorHAnsi"/>
          <w:spacing w:val="35"/>
        </w:rPr>
        <w:t xml:space="preserve"> </w:t>
      </w:r>
      <w:r w:rsidRPr="00D170B2">
        <w:rPr>
          <w:rFonts w:cs="Arial" w:asciiTheme="majorHAnsi" w:hAnsiTheme="majorHAnsi"/>
        </w:rPr>
        <w:t>a</w:t>
      </w:r>
      <w:r w:rsidRPr="00D170B2">
        <w:rPr>
          <w:rFonts w:cs="Arial" w:asciiTheme="majorHAnsi" w:hAnsiTheme="majorHAnsi"/>
          <w:spacing w:val="31"/>
        </w:rPr>
        <w:t xml:space="preserve"> </w:t>
      </w:r>
      <w:r w:rsidRPr="00D170B2">
        <w:rPr>
          <w:rFonts w:cs="Arial" w:asciiTheme="majorHAnsi" w:hAnsiTheme="majorHAnsi"/>
          <w:spacing w:val="1"/>
        </w:rPr>
        <w:t>m</w:t>
      </w:r>
      <w:r w:rsidRPr="00D170B2">
        <w:rPr>
          <w:rFonts w:cs="Arial" w:asciiTheme="majorHAnsi" w:hAnsiTheme="majorHAnsi"/>
          <w:spacing w:val="-1"/>
        </w:rPr>
        <w:t>a</w:t>
      </w:r>
      <w:r w:rsidRPr="00D170B2">
        <w:rPr>
          <w:rFonts w:cs="Arial" w:asciiTheme="majorHAnsi" w:hAnsiTheme="majorHAnsi"/>
        </w:rPr>
        <w:t>x</w:t>
      </w:r>
      <w:r w:rsidRPr="00D170B2">
        <w:rPr>
          <w:rFonts w:cs="Arial" w:asciiTheme="majorHAnsi" w:hAnsiTheme="majorHAnsi"/>
          <w:spacing w:val="-3"/>
        </w:rPr>
        <w:t>i</w:t>
      </w:r>
      <w:r w:rsidRPr="00D170B2">
        <w:rPr>
          <w:rFonts w:cs="Arial" w:asciiTheme="majorHAnsi" w:hAnsiTheme="majorHAnsi"/>
          <w:spacing w:val="1"/>
        </w:rPr>
        <w:t>m</w:t>
      </w:r>
      <w:r w:rsidRPr="00D170B2">
        <w:rPr>
          <w:rFonts w:cs="Arial" w:asciiTheme="majorHAnsi" w:hAnsiTheme="majorHAnsi"/>
          <w:spacing w:val="-4"/>
        </w:rPr>
        <w:t>u</w:t>
      </w:r>
      <w:r w:rsidRPr="00D170B2">
        <w:rPr>
          <w:rFonts w:cs="Arial" w:asciiTheme="majorHAnsi" w:hAnsiTheme="majorHAnsi"/>
        </w:rPr>
        <w:t>m</w:t>
      </w:r>
      <w:r w:rsidRPr="00D170B2">
        <w:rPr>
          <w:rFonts w:cs="Arial" w:asciiTheme="majorHAnsi" w:hAnsiTheme="majorHAnsi"/>
          <w:spacing w:val="33"/>
        </w:rPr>
        <w:t xml:space="preserve"> </w:t>
      </w:r>
      <w:r w:rsidRPr="00D170B2">
        <w:rPr>
          <w:rFonts w:cs="Arial" w:asciiTheme="majorHAnsi" w:hAnsiTheme="majorHAnsi"/>
          <w:spacing w:val="1"/>
        </w:rPr>
        <w:t>o</w:t>
      </w:r>
      <w:r w:rsidRPr="00D170B2">
        <w:rPr>
          <w:rFonts w:cs="Arial" w:asciiTheme="majorHAnsi" w:hAnsiTheme="majorHAnsi"/>
        </w:rPr>
        <w:t>f</w:t>
      </w:r>
      <w:r w:rsidRPr="00D170B2">
        <w:rPr>
          <w:rFonts w:cs="Arial" w:asciiTheme="majorHAnsi" w:hAnsiTheme="majorHAnsi"/>
          <w:spacing w:val="34"/>
        </w:rPr>
        <w:t xml:space="preserve"> </w:t>
      </w:r>
      <w:r w:rsidRPr="00D170B2">
        <w:rPr>
          <w:rFonts w:cs="Arial" w:asciiTheme="majorHAnsi" w:hAnsiTheme="majorHAnsi"/>
          <w:spacing w:val="-2"/>
        </w:rPr>
        <w:t>9</w:t>
      </w:r>
      <w:r w:rsidRPr="00D170B2">
        <w:rPr>
          <w:rFonts w:cs="Arial" w:asciiTheme="majorHAnsi" w:hAnsiTheme="majorHAnsi"/>
        </w:rPr>
        <w:t>0</w:t>
      </w:r>
      <w:r w:rsidRPr="00D170B2">
        <w:rPr>
          <w:rFonts w:cs="Arial" w:asciiTheme="majorHAnsi" w:hAnsiTheme="majorHAnsi"/>
          <w:spacing w:val="34"/>
        </w:rPr>
        <w:t xml:space="preserve"> </w:t>
      </w:r>
      <w:r w:rsidRPr="00D170B2">
        <w:rPr>
          <w:rFonts w:cs="Arial" w:asciiTheme="majorHAnsi" w:hAnsiTheme="majorHAnsi"/>
          <w:spacing w:val="-3"/>
        </w:rPr>
        <w:t>c</w:t>
      </w:r>
      <w:r w:rsidRPr="00D170B2">
        <w:rPr>
          <w:rFonts w:cs="Arial" w:asciiTheme="majorHAnsi" w:hAnsiTheme="majorHAnsi"/>
          <w:spacing w:val="-1"/>
        </w:rPr>
        <w:t>r</w:t>
      </w:r>
      <w:r w:rsidRPr="00D170B2">
        <w:rPr>
          <w:rFonts w:cs="Arial" w:asciiTheme="majorHAnsi" w:hAnsiTheme="majorHAnsi"/>
        </w:rPr>
        <w:t>e</w:t>
      </w:r>
      <w:r w:rsidRPr="00D170B2">
        <w:rPr>
          <w:rFonts w:cs="Arial" w:asciiTheme="majorHAnsi" w:hAnsiTheme="majorHAnsi"/>
          <w:spacing w:val="-1"/>
        </w:rPr>
        <w:t>d</w:t>
      </w:r>
      <w:r w:rsidRPr="00D170B2">
        <w:rPr>
          <w:rFonts w:cs="Arial" w:asciiTheme="majorHAnsi" w:hAnsiTheme="majorHAnsi"/>
          <w:spacing w:val="-3"/>
        </w:rPr>
        <w:t>i</w:t>
      </w:r>
      <w:r w:rsidRPr="00D170B2">
        <w:rPr>
          <w:rFonts w:cs="Arial" w:asciiTheme="majorHAnsi" w:hAnsiTheme="majorHAnsi"/>
        </w:rPr>
        <w:t>ts,</w:t>
      </w:r>
      <w:r w:rsidRPr="00D170B2">
        <w:rPr>
          <w:rFonts w:cs="Arial" w:asciiTheme="majorHAnsi" w:hAnsiTheme="majorHAnsi"/>
          <w:spacing w:val="-2"/>
        </w:rPr>
        <w:t xml:space="preserve"> </w:t>
      </w:r>
      <w:r w:rsidRPr="00D170B2">
        <w:rPr>
          <w:rFonts w:cs="Arial" w:asciiTheme="majorHAnsi" w:hAnsiTheme="majorHAnsi"/>
          <w:spacing w:val="-1"/>
        </w:rPr>
        <w:t>i</w:t>
      </w:r>
      <w:r w:rsidRPr="00D170B2">
        <w:rPr>
          <w:rFonts w:cs="Arial" w:asciiTheme="majorHAnsi" w:hAnsiTheme="majorHAnsi"/>
        </w:rPr>
        <w:t>n</w:t>
      </w:r>
      <w:r w:rsidRPr="00D170B2">
        <w:rPr>
          <w:rFonts w:cs="Arial" w:asciiTheme="majorHAnsi" w:hAnsiTheme="majorHAnsi"/>
          <w:spacing w:val="-1"/>
        </w:rPr>
        <w:t xml:space="preserve"> an</w:t>
      </w:r>
      <w:r w:rsidRPr="00D170B2">
        <w:rPr>
          <w:rFonts w:cs="Arial" w:asciiTheme="majorHAnsi" w:hAnsiTheme="majorHAnsi"/>
        </w:rPr>
        <w:t>y</w:t>
      </w:r>
      <w:r w:rsidRPr="00D170B2">
        <w:rPr>
          <w:rFonts w:cs="Arial" w:asciiTheme="majorHAnsi" w:hAnsiTheme="majorHAnsi"/>
          <w:spacing w:val="1"/>
        </w:rPr>
        <w:t xml:space="preserve"> </w:t>
      </w:r>
      <w:r w:rsidRPr="00D170B2">
        <w:rPr>
          <w:rFonts w:cs="Arial" w:asciiTheme="majorHAnsi" w:hAnsiTheme="majorHAnsi"/>
          <w:spacing w:val="-4"/>
        </w:rPr>
        <w:t>p</w:t>
      </w:r>
      <w:r w:rsidRPr="00D170B2">
        <w:rPr>
          <w:rFonts w:cs="Arial" w:asciiTheme="majorHAnsi" w:hAnsiTheme="majorHAnsi"/>
        </w:rPr>
        <w:t>e</w:t>
      </w:r>
      <w:r w:rsidRPr="00D170B2">
        <w:rPr>
          <w:rFonts w:cs="Arial" w:asciiTheme="majorHAnsi" w:hAnsiTheme="majorHAnsi"/>
          <w:spacing w:val="-1"/>
        </w:rPr>
        <w:t>r</w:t>
      </w:r>
      <w:r w:rsidRPr="00D170B2">
        <w:rPr>
          <w:rFonts w:cs="Arial" w:asciiTheme="majorHAnsi" w:hAnsiTheme="majorHAnsi"/>
          <w:spacing w:val="1"/>
        </w:rPr>
        <w:t>m</w:t>
      </w:r>
      <w:r w:rsidRPr="00D170B2">
        <w:rPr>
          <w:rFonts w:cs="Arial" w:asciiTheme="majorHAnsi" w:hAnsiTheme="majorHAnsi"/>
          <w:spacing w:val="-4"/>
        </w:rPr>
        <w:t>u</w:t>
      </w:r>
      <w:r w:rsidRPr="00D170B2">
        <w:rPr>
          <w:rFonts w:cs="Arial" w:asciiTheme="majorHAnsi" w:hAnsiTheme="majorHAnsi"/>
        </w:rPr>
        <w:t>t</w:t>
      </w:r>
      <w:r w:rsidRPr="00D170B2">
        <w:rPr>
          <w:rFonts w:cs="Arial" w:asciiTheme="majorHAnsi" w:hAnsiTheme="majorHAnsi"/>
          <w:spacing w:val="-1"/>
        </w:rPr>
        <w:t>a</w:t>
      </w:r>
      <w:r w:rsidRPr="00D170B2">
        <w:rPr>
          <w:rFonts w:cs="Arial" w:asciiTheme="majorHAnsi" w:hAnsiTheme="majorHAnsi"/>
        </w:rPr>
        <w:t>t</w:t>
      </w:r>
      <w:r w:rsidRPr="00D170B2">
        <w:rPr>
          <w:rFonts w:cs="Arial" w:asciiTheme="majorHAnsi" w:hAnsiTheme="majorHAnsi"/>
          <w:spacing w:val="-3"/>
        </w:rPr>
        <w:t>i</w:t>
      </w:r>
      <w:r w:rsidRPr="00D170B2">
        <w:rPr>
          <w:rFonts w:cs="Arial" w:asciiTheme="majorHAnsi" w:hAnsiTheme="majorHAnsi"/>
          <w:spacing w:val="1"/>
        </w:rPr>
        <w:t>o</w:t>
      </w:r>
      <w:r w:rsidRPr="00D170B2">
        <w:rPr>
          <w:rFonts w:cs="Arial" w:asciiTheme="majorHAnsi" w:hAnsiTheme="majorHAnsi"/>
        </w:rPr>
        <w:t>n</w:t>
      </w:r>
      <w:r w:rsidRPr="00D170B2">
        <w:rPr>
          <w:rFonts w:cs="Arial" w:asciiTheme="majorHAnsi" w:hAnsiTheme="majorHAnsi"/>
          <w:spacing w:val="-1"/>
        </w:rPr>
        <w:t xml:space="preserve"> </w:t>
      </w:r>
      <w:r w:rsidRPr="00D170B2">
        <w:rPr>
          <w:rFonts w:cs="Arial" w:asciiTheme="majorHAnsi" w:hAnsiTheme="majorHAnsi"/>
          <w:spacing w:val="-2"/>
        </w:rPr>
        <w:t>o</w:t>
      </w:r>
      <w:r w:rsidRPr="00D170B2">
        <w:rPr>
          <w:rFonts w:cs="Arial" w:asciiTheme="majorHAnsi" w:hAnsiTheme="majorHAnsi"/>
        </w:rPr>
        <w:t>r c</w:t>
      </w:r>
      <w:r w:rsidRPr="00D170B2">
        <w:rPr>
          <w:rFonts w:cs="Arial" w:asciiTheme="majorHAnsi" w:hAnsiTheme="majorHAnsi"/>
          <w:spacing w:val="-2"/>
        </w:rPr>
        <w:t>o</w:t>
      </w:r>
      <w:r w:rsidRPr="00D170B2">
        <w:rPr>
          <w:rFonts w:cs="Arial" w:asciiTheme="majorHAnsi" w:hAnsiTheme="majorHAnsi"/>
          <w:spacing w:val="1"/>
        </w:rPr>
        <w:t>m</w:t>
      </w:r>
      <w:r w:rsidRPr="00D170B2">
        <w:rPr>
          <w:rFonts w:cs="Arial" w:asciiTheme="majorHAnsi" w:hAnsiTheme="majorHAnsi"/>
          <w:spacing w:val="-1"/>
        </w:rPr>
        <w:t>bina</w:t>
      </w:r>
      <w:r w:rsidRPr="00D170B2">
        <w:rPr>
          <w:rFonts w:cs="Arial" w:asciiTheme="majorHAnsi" w:hAnsiTheme="majorHAnsi"/>
        </w:rPr>
        <w:t>t</w:t>
      </w:r>
      <w:r w:rsidRPr="00D170B2">
        <w:rPr>
          <w:rFonts w:cs="Arial" w:asciiTheme="majorHAnsi" w:hAnsiTheme="majorHAnsi"/>
          <w:spacing w:val="-3"/>
        </w:rPr>
        <w:t>i</w:t>
      </w:r>
      <w:r w:rsidRPr="00D170B2">
        <w:rPr>
          <w:rFonts w:cs="Arial" w:asciiTheme="majorHAnsi" w:hAnsiTheme="majorHAnsi"/>
          <w:spacing w:val="1"/>
        </w:rPr>
        <w:t>o</w:t>
      </w:r>
      <w:r w:rsidRPr="00D170B2">
        <w:rPr>
          <w:rFonts w:cs="Arial" w:asciiTheme="majorHAnsi" w:hAnsiTheme="majorHAnsi"/>
        </w:rPr>
        <w:t>n</w:t>
      </w:r>
      <w:r w:rsidRPr="00D170B2">
        <w:rPr>
          <w:rFonts w:cs="Arial" w:asciiTheme="majorHAnsi" w:hAnsiTheme="majorHAnsi"/>
          <w:spacing w:val="-1"/>
        </w:rPr>
        <w:t xml:space="preserve"> </w:t>
      </w:r>
      <w:r w:rsidRPr="00D170B2">
        <w:rPr>
          <w:rFonts w:cs="Arial" w:asciiTheme="majorHAnsi" w:hAnsiTheme="majorHAnsi"/>
          <w:spacing w:val="1"/>
        </w:rPr>
        <w:t>o</w:t>
      </w:r>
      <w:r w:rsidRPr="00D170B2">
        <w:rPr>
          <w:rFonts w:cs="Arial" w:asciiTheme="majorHAnsi" w:hAnsiTheme="majorHAnsi"/>
        </w:rPr>
        <w:t>f</w:t>
      </w:r>
      <w:r w:rsidRPr="00D170B2">
        <w:rPr>
          <w:rFonts w:cs="Arial" w:asciiTheme="majorHAnsi" w:hAnsiTheme="majorHAnsi"/>
          <w:spacing w:val="-3"/>
        </w:rPr>
        <w:t xml:space="preserve"> </w:t>
      </w:r>
      <w:r w:rsidRPr="00D170B2">
        <w:rPr>
          <w:rFonts w:cs="Arial" w:asciiTheme="majorHAnsi" w:hAnsiTheme="majorHAnsi"/>
          <w:spacing w:val="-2"/>
        </w:rPr>
        <w:t>m</w:t>
      </w:r>
      <w:r w:rsidRPr="00D170B2">
        <w:rPr>
          <w:rFonts w:cs="Arial" w:asciiTheme="majorHAnsi" w:hAnsiTheme="majorHAnsi"/>
          <w:spacing w:val="1"/>
        </w:rPr>
        <w:t>o</w:t>
      </w:r>
      <w:r w:rsidRPr="00D170B2">
        <w:rPr>
          <w:rFonts w:cs="Arial" w:asciiTheme="majorHAnsi" w:hAnsiTheme="majorHAnsi"/>
          <w:spacing w:val="-1"/>
        </w:rPr>
        <w:t>dul</w:t>
      </w:r>
      <w:r w:rsidRPr="00D170B2">
        <w:rPr>
          <w:rFonts w:cs="Arial" w:asciiTheme="majorHAnsi" w:hAnsiTheme="majorHAnsi"/>
        </w:rPr>
        <w:t>e</w:t>
      </w:r>
      <w:r w:rsidRPr="00D170B2">
        <w:rPr>
          <w:rFonts w:cs="Arial" w:asciiTheme="majorHAnsi" w:hAnsiTheme="majorHAnsi"/>
          <w:spacing w:val="-2"/>
        </w:rPr>
        <w:t xml:space="preserve"> </w:t>
      </w:r>
      <w:r w:rsidRPr="00D170B2">
        <w:rPr>
          <w:rFonts w:cs="Arial" w:asciiTheme="majorHAnsi" w:hAnsiTheme="majorHAnsi"/>
          <w:spacing w:val="-1"/>
        </w:rPr>
        <w:t>siz</w:t>
      </w:r>
      <w:r w:rsidRPr="00D170B2">
        <w:rPr>
          <w:rFonts w:cs="Arial" w:asciiTheme="majorHAnsi" w:hAnsiTheme="majorHAnsi"/>
        </w:rPr>
        <w:t>e</w:t>
      </w:r>
      <w:r w:rsidRPr="00D170B2">
        <w:rPr>
          <w:rFonts w:cs="Arial" w:asciiTheme="majorHAnsi" w:hAnsiTheme="majorHAnsi"/>
          <w:spacing w:val="-1"/>
        </w:rPr>
        <w:t>s</w:t>
      </w:r>
      <w:r w:rsidRPr="00D170B2">
        <w:rPr>
          <w:rFonts w:cs="Arial" w:asciiTheme="majorHAnsi" w:hAnsiTheme="majorHAnsi"/>
        </w:rPr>
        <w:t>.</w:t>
      </w:r>
    </w:p>
    <w:p w:rsidR="00263D9F" w:rsidP="000F6ED8" w:rsidRDefault="00263D9F"/>
    <w:p w:rsidR="000F6ED8" w:rsidP="000F6ED8" w:rsidRDefault="000F6ED8">
      <w:pPr>
        <w:pStyle w:val="Heading3"/>
      </w:pPr>
      <w:bookmarkStart w:name="_Toc507515639" w:id="4"/>
      <w:r>
        <w:t>Community Justice</w:t>
      </w:r>
      <w:r w:rsidRPr="009A6D9D">
        <w:t xml:space="preserve"> </w:t>
      </w:r>
      <w:r>
        <w:t>BA (Hons)/</w:t>
      </w:r>
      <w:proofErr w:type="spellStart"/>
      <w:r>
        <w:t>GradDip</w:t>
      </w:r>
      <w:proofErr w:type="spellEnd"/>
      <w:r>
        <w:t>, L56048</w:t>
      </w:r>
      <w:bookmarkEnd w:id="4"/>
    </w:p>
    <w:p w:rsidRPr="00313429" w:rsidR="000F6ED8" w:rsidP="000F6ED8" w:rsidRDefault="00730402">
      <w:pPr>
        <w:pStyle w:val="NoSpacing"/>
        <w:rPr>
          <w:color w:val="355D7E" w:themeColor="accent1" w:themeShade="80"/>
        </w:rPr>
      </w:pPr>
      <w:r w:rsidRPr="00313429">
        <w:rPr>
          <w:color w:val="355D7E" w:themeColor="accent1" w:themeShade="80"/>
        </w:rPr>
        <w:t>Her Majesty’s Prison &amp; Probation Service</w:t>
      </w:r>
    </w:p>
    <w:p w:rsidR="000F6ED8" w:rsidP="000F6ED8" w:rsidRDefault="000F6ED8">
      <w:pPr>
        <w:pStyle w:val="headingunderline"/>
      </w:pPr>
    </w:p>
    <w:p w:rsidR="000F6ED8" w:rsidP="000F6ED8" w:rsidRDefault="000F6ED8">
      <w:pPr>
        <w:pStyle w:val="Heading4"/>
      </w:pPr>
      <w:r>
        <w:t>Passing a module</w:t>
      </w:r>
      <w:r w:rsidR="00401F6C">
        <w:t>/Compensation</w:t>
      </w:r>
    </w:p>
    <w:p w:rsidR="000F6ED8" w:rsidP="00401F6C" w:rsidRDefault="000F6ED8">
      <w:r>
        <w:t xml:space="preserve">All module components must be passed at 40 per cent. No compensation is available. </w:t>
      </w:r>
    </w:p>
    <w:p w:rsidR="000F6ED8" w:rsidP="000F6ED8" w:rsidRDefault="000F6ED8"/>
    <w:p w:rsidR="000F6ED8" w:rsidP="000F6ED8" w:rsidRDefault="000F6ED8">
      <w:pPr>
        <w:pStyle w:val="Heading4"/>
      </w:pPr>
      <w:r>
        <w:t>Reassessment of failure</w:t>
      </w:r>
      <w:r>
        <w:tab/>
      </w:r>
    </w:p>
    <w:p w:rsidRPr="00E04DB2" w:rsidR="000F6ED8" w:rsidP="000F6ED8" w:rsidRDefault="000F6ED8">
      <w:pPr>
        <w:rPr>
          <w:color w:val="FFC000"/>
        </w:rPr>
      </w:pPr>
      <w:r>
        <w:t xml:space="preserve">Up to 90 credits of reassessment opportunities are available. A student may have only one reassessment attempt at the </w:t>
      </w:r>
      <w:proofErr w:type="gramStart"/>
      <w:r>
        <w:t>45 credit</w:t>
      </w:r>
      <w:proofErr w:type="gramEnd"/>
      <w:r>
        <w:t xml:space="preserve"> module and may utilise up to 45 credits of reassessment for the remaining modules, with a maximum of two reassessment attempts </w:t>
      </w:r>
      <w:r w:rsidRPr="00E04DB2" w:rsidR="00AF7523">
        <w:t xml:space="preserve">at any one </w:t>
      </w:r>
      <w:r w:rsidRPr="00E04DB2" w:rsidR="00E04DB2">
        <w:t>module.</w:t>
      </w:r>
    </w:p>
    <w:p w:rsidR="000F6ED8" w:rsidP="000F6ED8" w:rsidRDefault="000F6ED8"/>
    <w:p w:rsidR="000F6ED8" w:rsidP="000F6ED8" w:rsidRDefault="000F6ED8">
      <w:pPr>
        <w:pStyle w:val="Heading4"/>
      </w:pPr>
      <w:r>
        <w:lastRenderedPageBreak/>
        <w:t>Undergraduate awards</w:t>
      </w:r>
      <w:r>
        <w:tab/>
      </w:r>
    </w:p>
    <w:p w:rsidR="000F6ED8" w:rsidP="000F6ED8" w:rsidRDefault="000F6ED8">
      <w:r>
        <w:t>This is a level 6 programme and is therefore classified on the best 105 level 6 credits. The graduate diploma does not receive a classification.</w:t>
      </w:r>
    </w:p>
    <w:p w:rsidR="000F6ED8" w:rsidP="000F6ED8" w:rsidRDefault="000F6ED8"/>
    <w:p w:rsidR="00E449D4" w:rsidP="000F6ED8" w:rsidRDefault="00E449D4"/>
    <w:p w:rsidR="002A5FDA" w:rsidP="000F6ED8" w:rsidRDefault="002A5FDA"/>
    <w:p w:rsidR="00255F0F" w:rsidP="00255F0F" w:rsidRDefault="00255F0F">
      <w:pPr>
        <w:pStyle w:val="Heading3"/>
      </w:pPr>
      <w:r>
        <w:t>Diagnostic Radiography, B82141</w:t>
      </w:r>
    </w:p>
    <w:p w:rsidRPr="00D170B2" w:rsidR="00255F0F" w:rsidP="00CF3350" w:rsidRDefault="00255F0F">
      <w:pPr>
        <w:pStyle w:val="NoSpacing"/>
      </w:pPr>
      <w:r>
        <w:t>Health and Care Professions Council (HCPC)</w:t>
      </w:r>
    </w:p>
    <w:p w:rsidR="00255F0F" w:rsidP="00255F0F" w:rsidRDefault="00255F0F">
      <w:pPr>
        <w:pStyle w:val="headingunderline"/>
      </w:pPr>
    </w:p>
    <w:p w:rsidR="00255F0F" w:rsidP="00255F0F" w:rsidRDefault="00255F0F">
      <w:pPr>
        <w:pStyle w:val="Heading4"/>
      </w:pPr>
      <w:r>
        <w:t>Passing a module/Compensation</w:t>
      </w:r>
    </w:p>
    <w:p w:rsidR="00255F0F" w:rsidP="00255F0F" w:rsidRDefault="00255F0F">
      <w:pPr>
        <w:pStyle w:val="BodyText"/>
        <w:kinsoku w:val="0"/>
        <w:overflowPunct w:val="0"/>
        <w:spacing w:line="276" w:lineRule="auto"/>
        <w:ind w:right="122"/>
        <w:jc w:val="both"/>
        <w:rPr>
          <w:rFonts w:cs="Arial" w:asciiTheme="majorHAnsi" w:hAnsiTheme="majorHAnsi"/>
          <w:spacing w:val="-1"/>
        </w:rPr>
      </w:pPr>
      <w:r w:rsidRPr="00D170B2">
        <w:rPr>
          <w:rFonts w:cs="Arial" w:asciiTheme="majorHAnsi" w:hAnsiTheme="majorHAnsi"/>
          <w:spacing w:val="-1"/>
        </w:rPr>
        <w:t xml:space="preserve">No compensation of credits is allowed between modules and/or individual assessments. </w:t>
      </w:r>
    </w:p>
    <w:p w:rsidR="00255F0F" w:rsidP="00255F0F" w:rsidRDefault="00255F0F">
      <w:pPr>
        <w:pStyle w:val="Heading4"/>
      </w:pPr>
      <w:r>
        <w:t>Reassessment of failure</w:t>
      </w:r>
    </w:p>
    <w:p w:rsidR="00255F0F" w:rsidP="00255F0F" w:rsidRDefault="00255F0F">
      <w:pPr>
        <w:pStyle w:val="BodyText"/>
        <w:kinsoku w:val="0"/>
        <w:overflowPunct w:val="0"/>
        <w:spacing w:line="276" w:lineRule="auto"/>
        <w:ind w:right="122"/>
        <w:jc w:val="both"/>
      </w:pPr>
      <w:r w:rsidRPr="00D170B2">
        <w:rPr>
          <w:rFonts w:cs="Arial" w:asciiTheme="majorHAnsi" w:hAnsiTheme="majorHAnsi"/>
        </w:rPr>
        <w:t xml:space="preserve">Students on the programme are </w:t>
      </w:r>
      <w:r w:rsidRPr="00D170B2">
        <w:rPr>
          <w:rFonts w:cs="Arial" w:asciiTheme="majorHAnsi" w:hAnsiTheme="majorHAnsi"/>
          <w:spacing w:val="-1"/>
        </w:rPr>
        <w:t>p</w:t>
      </w:r>
      <w:r w:rsidRPr="00D170B2">
        <w:rPr>
          <w:rFonts w:cs="Arial" w:asciiTheme="majorHAnsi" w:hAnsiTheme="majorHAnsi"/>
        </w:rPr>
        <w:t>e</w:t>
      </w:r>
      <w:r w:rsidRPr="00D170B2">
        <w:rPr>
          <w:rFonts w:cs="Arial" w:asciiTheme="majorHAnsi" w:hAnsiTheme="majorHAnsi"/>
          <w:spacing w:val="-3"/>
        </w:rPr>
        <w:t>r</w:t>
      </w:r>
      <w:r w:rsidRPr="00D170B2">
        <w:rPr>
          <w:rFonts w:cs="Arial" w:asciiTheme="majorHAnsi" w:hAnsiTheme="majorHAnsi"/>
          <w:spacing w:val="1"/>
        </w:rPr>
        <w:t>m</w:t>
      </w:r>
      <w:r w:rsidRPr="00D170B2">
        <w:rPr>
          <w:rFonts w:cs="Arial" w:asciiTheme="majorHAnsi" w:hAnsiTheme="majorHAnsi"/>
          <w:spacing w:val="-1"/>
        </w:rPr>
        <w:t>i</w:t>
      </w:r>
      <w:r w:rsidRPr="00D170B2">
        <w:rPr>
          <w:rFonts w:cs="Arial" w:asciiTheme="majorHAnsi" w:hAnsiTheme="majorHAnsi"/>
          <w:spacing w:val="-2"/>
        </w:rPr>
        <w:t>t</w:t>
      </w:r>
      <w:r w:rsidRPr="00D170B2">
        <w:rPr>
          <w:rFonts w:cs="Arial" w:asciiTheme="majorHAnsi" w:hAnsiTheme="majorHAnsi"/>
        </w:rPr>
        <w:t>ted</w:t>
      </w:r>
      <w:r w:rsidRPr="00D170B2">
        <w:rPr>
          <w:rFonts w:cs="Arial" w:asciiTheme="majorHAnsi" w:hAnsiTheme="majorHAnsi"/>
          <w:spacing w:val="32"/>
        </w:rPr>
        <w:t xml:space="preserve"> </w:t>
      </w:r>
      <w:r w:rsidRPr="00D170B2">
        <w:rPr>
          <w:rFonts w:cs="Arial" w:asciiTheme="majorHAnsi" w:hAnsiTheme="majorHAnsi"/>
          <w:spacing w:val="-3"/>
        </w:rPr>
        <w:t>r</w:t>
      </w:r>
      <w:r w:rsidRPr="00D170B2">
        <w:rPr>
          <w:rFonts w:cs="Arial" w:asciiTheme="majorHAnsi" w:hAnsiTheme="majorHAnsi"/>
        </w:rPr>
        <w:t>e</w:t>
      </w:r>
      <w:r w:rsidRPr="00D170B2">
        <w:rPr>
          <w:rFonts w:cs="Arial" w:asciiTheme="majorHAnsi" w:hAnsiTheme="majorHAnsi"/>
          <w:spacing w:val="-3"/>
        </w:rPr>
        <w:t>a</w:t>
      </w:r>
      <w:r w:rsidRPr="00D170B2">
        <w:rPr>
          <w:rFonts w:cs="Arial" w:asciiTheme="majorHAnsi" w:hAnsiTheme="majorHAnsi"/>
          <w:spacing w:val="-1"/>
        </w:rPr>
        <w:t>ss</w:t>
      </w:r>
      <w:r w:rsidRPr="00D170B2">
        <w:rPr>
          <w:rFonts w:cs="Arial" w:asciiTheme="majorHAnsi" w:hAnsiTheme="majorHAnsi"/>
        </w:rPr>
        <w:t>es</w:t>
      </w:r>
      <w:r w:rsidRPr="00D170B2">
        <w:rPr>
          <w:rFonts w:cs="Arial" w:asciiTheme="majorHAnsi" w:hAnsiTheme="majorHAnsi"/>
          <w:spacing w:val="-3"/>
        </w:rPr>
        <w:t>s</w:t>
      </w:r>
      <w:r w:rsidRPr="00D170B2">
        <w:rPr>
          <w:rFonts w:cs="Arial" w:asciiTheme="majorHAnsi" w:hAnsiTheme="majorHAnsi"/>
          <w:spacing w:val="1"/>
        </w:rPr>
        <w:t>m</w:t>
      </w:r>
      <w:r w:rsidRPr="00D170B2">
        <w:rPr>
          <w:rFonts w:cs="Arial" w:asciiTheme="majorHAnsi" w:hAnsiTheme="majorHAnsi"/>
        </w:rPr>
        <w:t>e</w:t>
      </w:r>
      <w:r w:rsidRPr="00D170B2">
        <w:rPr>
          <w:rFonts w:cs="Arial" w:asciiTheme="majorHAnsi" w:hAnsiTheme="majorHAnsi"/>
          <w:spacing w:val="-1"/>
        </w:rPr>
        <w:t>n</w:t>
      </w:r>
      <w:r w:rsidRPr="00D170B2">
        <w:rPr>
          <w:rFonts w:cs="Arial" w:asciiTheme="majorHAnsi" w:hAnsiTheme="majorHAnsi"/>
        </w:rPr>
        <w:t>t</w:t>
      </w:r>
      <w:r w:rsidRPr="00D170B2">
        <w:rPr>
          <w:rFonts w:cs="Arial" w:asciiTheme="majorHAnsi" w:hAnsiTheme="majorHAnsi"/>
          <w:spacing w:val="32"/>
        </w:rPr>
        <w:t xml:space="preserve"> </w:t>
      </w:r>
      <w:r w:rsidRPr="00D170B2">
        <w:rPr>
          <w:rFonts w:cs="Arial" w:asciiTheme="majorHAnsi" w:hAnsiTheme="majorHAnsi"/>
          <w:spacing w:val="1"/>
        </w:rPr>
        <w:t>o</w:t>
      </w:r>
      <w:r w:rsidRPr="00D170B2">
        <w:rPr>
          <w:rFonts w:cs="Arial" w:asciiTheme="majorHAnsi" w:hAnsiTheme="majorHAnsi"/>
          <w:spacing w:val="-1"/>
        </w:rPr>
        <w:t>pp</w:t>
      </w:r>
      <w:r w:rsidRPr="00D170B2">
        <w:rPr>
          <w:rFonts w:cs="Arial" w:asciiTheme="majorHAnsi" w:hAnsiTheme="majorHAnsi"/>
          <w:spacing w:val="-2"/>
        </w:rPr>
        <w:t>o</w:t>
      </w:r>
      <w:r w:rsidRPr="00D170B2">
        <w:rPr>
          <w:rFonts w:cs="Arial" w:asciiTheme="majorHAnsi" w:hAnsiTheme="majorHAnsi"/>
          <w:spacing w:val="-1"/>
        </w:rPr>
        <w:t>r</w:t>
      </w:r>
      <w:r w:rsidRPr="00D170B2">
        <w:rPr>
          <w:rFonts w:cs="Arial" w:asciiTheme="majorHAnsi" w:hAnsiTheme="majorHAnsi"/>
        </w:rPr>
        <w:t>t</w:t>
      </w:r>
      <w:r w:rsidRPr="00D170B2">
        <w:rPr>
          <w:rFonts w:cs="Arial" w:asciiTheme="majorHAnsi" w:hAnsiTheme="majorHAnsi"/>
          <w:spacing w:val="-1"/>
        </w:rPr>
        <w:t>uni</w:t>
      </w:r>
      <w:r w:rsidRPr="00D170B2">
        <w:rPr>
          <w:rFonts w:cs="Arial" w:asciiTheme="majorHAnsi" w:hAnsiTheme="majorHAnsi"/>
        </w:rPr>
        <w:t>t</w:t>
      </w:r>
      <w:r w:rsidRPr="00D170B2">
        <w:rPr>
          <w:rFonts w:cs="Arial" w:asciiTheme="majorHAnsi" w:hAnsiTheme="majorHAnsi"/>
          <w:spacing w:val="-1"/>
        </w:rPr>
        <w:t>i</w:t>
      </w:r>
      <w:r w:rsidRPr="00D170B2">
        <w:rPr>
          <w:rFonts w:cs="Arial" w:asciiTheme="majorHAnsi" w:hAnsiTheme="majorHAnsi"/>
        </w:rPr>
        <w:t>es</w:t>
      </w:r>
      <w:r w:rsidRPr="00D170B2">
        <w:rPr>
          <w:rFonts w:cs="Arial" w:asciiTheme="majorHAnsi" w:hAnsiTheme="majorHAnsi"/>
          <w:spacing w:val="32"/>
        </w:rPr>
        <w:t xml:space="preserve"> </w:t>
      </w:r>
      <w:r w:rsidRPr="00D170B2">
        <w:rPr>
          <w:rFonts w:cs="Arial" w:asciiTheme="majorHAnsi" w:hAnsiTheme="majorHAnsi"/>
          <w:spacing w:val="-2"/>
        </w:rPr>
        <w:t>t</w:t>
      </w:r>
      <w:r w:rsidRPr="00D170B2">
        <w:rPr>
          <w:rFonts w:cs="Arial" w:asciiTheme="majorHAnsi" w:hAnsiTheme="majorHAnsi"/>
        </w:rPr>
        <w:t>o</w:t>
      </w:r>
      <w:r w:rsidRPr="00D170B2">
        <w:rPr>
          <w:rFonts w:cs="Arial" w:asciiTheme="majorHAnsi" w:hAnsiTheme="majorHAnsi"/>
          <w:spacing w:val="35"/>
        </w:rPr>
        <w:t xml:space="preserve"> </w:t>
      </w:r>
      <w:r w:rsidRPr="00D170B2">
        <w:rPr>
          <w:rFonts w:cs="Arial" w:asciiTheme="majorHAnsi" w:hAnsiTheme="majorHAnsi"/>
        </w:rPr>
        <w:t>a</w:t>
      </w:r>
      <w:r w:rsidRPr="00D170B2">
        <w:rPr>
          <w:rFonts w:cs="Arial" w:asciiTheme="majorHAnsi" w:hAnsiTheme="majorHAnsi"/>
          <w:spacing w:val="31"/>
        </w:rPr>
        <w:t xml:space="preserve"> </w:t>
      </w:r>
      <w:r w:rsidRPr="00D170B2">
        <w:rPr>
          <w:rFonts w:cs="Arial" w:asciiTheme="majorHAnsi" w:hAnsiTheme="majorHAnsi"/>
          <w:spacing w:val="1"/>
        </w:rPr>
        <w:t>m</w:t>
      </w:r>
      <w:r w:rsidRPr="00D170B2">
        <w:rPr>
          <w:rFonts w:cs="Arial" w:asciiTheme="majorHAnsi" w:hAnsiTheme="majorHAnsi"/>
          <w:spacing w:val="-1"/>
        </w:rPr>
        <w:t>a</w:t>
      </w:r>
      <w:r w:rsidRPr="00D170B2">
        <w:rPr>
          <w:rFonts w:cs="Arial" w:asciiTheme="majorHAnsi" w:hAnsiTheme="majorHAnsi"/>
        </w:rPr>
        <w:t>x</w:t>
      </w:r>
      <w:r w:rsidRPr="00D170B2">
        <w:rPr>
          <w:rFonts w:cs="Arial" w:asciiTheme="majorHAnsi" w:hAnsiTheme="majorHAnsi"/>
          <w:spacing w:val="-3"/>
        </w:rPr>
        <w:t>i</w:t>
      </w:r>
      <w:r w:rsidRPr="00D170B2">
        <w:rPr>
          <w:rFonts w:cs="Arial" w:asciiTheme="majorHAnsi" w:hAnsiTheme="majorHAnsi"/>
          <w:spacing w:val="1"/>
        </w:rPr>
        <w:t>m</w:t>
      </w:r>
      <w:r w:rsidRPr="00D170B2">
        <w:rPr>
          <w:rFonts w:cs="Arial" w:asciiTheme="majorHAnsi" w:hAnsiTheme="majorHAnsi"/>
          <w:spacing w:val="-4"/>
        </w:rPr>
        <w:t>u</w:t>
      </w:r>
      <w:r w:rsidRPr="00D170B2">
        <w:rPr>
          <w:rFonts w:cs="Arial" w:asciiTheme="majorHAnsi" w:hAnsiTheme="majorHAnsi"/>
        </w:rPr>
        <w:t>m</w:t>
      </w:r>
      <w:r w:rsidRPr="00D170B2">
        <w:rPr>
          <w:rFonts w:cs="Arial" w:asciiTheme="majorHAnsi" w:hAnsiTheme="majorHAnsi"/>
          <w:spacing w:val="33"/>
        </w:rPr>
        <w:t xml:space="preserve"> </w:t>
      </w:r>
      <w:r w:rsidRPr="00D170B2">
        <w:rPr>
          <w:rFonts w:cs="Arial" w:asciiTheme="majorHAnsi" w:hAnsiTheme="majorHAnsi"/>
          <w:spacing w:val="1"/>
        </w:rPr>
        <w:t>o</w:t>
      </w:r>
      <w:r w:rsidRPr="00D170B2">
        <w:rPr>
          <w:rFonts w:cs="Arial" w:asciiTheme="majorHAnsi" w:hAnsiTheme="majorHAnsi"/>
        </w:rPr>
        <w:t>f</w:t>
      </w:r>
      <w:r w:rsidRPr="00D170B2">
        <w:rPr>
          <w:rFonts w:cs="Arial" w:asciiTheme="majorHAnsi" w:hAnsiTheme="majorHAnsi"/>
          <w:spacing w:val="34"/>
        </w:rPr>
        <w:t xml:space="preserve"> </w:t>
      </w:r>
      <w:r w:rsidRPr="00D170B2">
        <w:rPr>
          <w:rFonts w:cs="Arial" w:asciiTheme="majorHAnsi" w:hAnsiTheme="majorHAnsi"/>
          <w:spacing w:val="-2"/>
        </w:rPr>
        <w:t>9</w:t>
      </w:r>
      <w:r w:rsidRPr="00D170B2">
        <w:rPr>
          <w:rFonts w:cs="Arial" w:asciiTheme="majorHAnsi" w:hAnsiTheme="majorHAnsi"/>
        </w:rPr>
        <w:t>0</w:t>
      </w:r>
      <w:r w:rsidRPr="00D170B2">
        <w:rPr>
          <w:rFonts w:cs="Arial" w:asciiTheme="majorHAnsi" w:hAnsiTheme="majorHAnsi"/>
          <w:spacing w:val="34"/>
        </w:rPr>
        <w:t xml:space="preserve"> </w:t>
      </w:r>
      <w:r w:rsidRPr="00D170B2">
        <w:rPr>
          <w:rFonts w:cs="Arial" w:asciiTheme="majorHAnsi" w:hAnsiTheme="majorHAnsi"/>
          <w:spacing w:val="-3"/>
        </w:rPr>
        <w:t>c</w:t>
      </w:r>
      <w:r w:rsidRPr="00D170B2">
        <w:rPr>
          <w:rFonts w:cs="Arial" w:asciiTheme="majorHAnsi" w:hAnsiTheme="majorHAnsi"/>
          <w:spacing w:val="-1"/>
        </w:rPr>
        <w:t>r</w:t>
      </w:r>
      <w:r w:rsidRPr="00D170B2">
        <w:rPr>
          <w:rFonts w:cs="Arial" w:asciiTheme="majorHAnsi" w:hAnsiTheme="majorHAnsi"/>
        </w:rPr>
        <w:t>e</w:t>
      </w:r>
      <w:r w:rsidRPr="00D170B2">
        <w:rPr>
          <w:rFonts w:cs="Arial" w:asciiTheme="majorHAnsi" w:hAnsiTheme="majorHAnsi"/>
          <w:spacing w:val="-1"/>
        </w:rPr>
        <w:t>d</w:t>
      </w:r>
      <w:r w:rsidRPr="00D170B2">
        <w:rPr>
          <w:rFonts w:cs="Arial" w:asciiTheme="majorHAnsi" w:hAnsiTheme="majorHAnsi"/>
          <w:spacing w:val="-3"/>
        </w:rPr>
        <w:t>i</w:t>
      </w:r>
      <w:r w:rsidRPr="00D170B2">
        <w:rPr>
          <w:rFonts w:cs="Arial" w:asciiTheme="majorHAnsi" w:hAnsiTheme="majorHAnsi"/>
        </w:rPr>
        <w:t>ts</w:t>
      </w:r>
      <w:r w:rsidRPr="00D170B2">
        <w:rPr>
          <w:rFonts w:cs="Arial" w:asciiTheme="majorHAnsi" w:hAnsiTheme="majorHAnsi"/>
          <w:spacing w:val="34"/>
        </w:rPr>
        <w:t xml:space="preserve"> </w:t>
      </w:r>
      <w:r w:rsidRPr="00D170B2">
        <w:rPr>
          <w:rFonts w:cs="Arial" w:asciiTheme="majorHAnsi" w:hAnsiTheme="majorHAnsi"/>
          <w:spacing w:val="-1"/>
        </w:rPr>
        <w:t>a</w:t>
      </w:r>
      <w:r w:rsidRPr="00D170B2">
        <w:rPr>
          <w:rFonts w:cs="Arial" w:asciiTheme="majorHAnsi" w:hAnsiTheme="majorHAnsi"/>
        </w:rPr>
        <w:t>t</w:t>
      </w:r>
      <w:r w:rsidRPr="00D170B2">
        <w:rPr>
          <w:rFonts w:cs="Arial" w:asciiTheme="majorHAnsi" w:hAnsiTheme="majorHAnsi"/>
          <w:spacing w:val="32"/>
        </w:rPr>
        <w:t xml:space="preserve"> </w:t>
      </w:r>
      <w:r w:rsidRPr="00D170B2">
        <w:rPr>
          <w:rFonts w:cs="Arial" w:asciiTheme="majorHAnsi" w:hAnsiTheme="majorHAnsi"/>
        </w:rPr>
        <w:t>e</w:t>
      </w:r>
      <w:r w:rsidRPr="00D170B2">
        <w:rPr>
          <w:rFonts w:cs="Arial" w:asciiTheme="majorHAnsi" w:hAnsiTheme="majorHAnsi"/>
          <w:spacing w:val="-1"/>
        </w:rPr>
        <w:t>a</w:t>
      </w:r>
      <w:r w:rsidRPr="00D170B2">
        <w:rPr>
          <w:rFonts w:cs="Arial" w:asciiTheme="majorHAnsi" w:hAnsiTheme="majorHAnsi"/>
        </w:rPr>
        <w:t>ch</w:t>
      </w:r>
      <w:r w:rsidRPr="00D170B2">
        <w:rPr>
          <w:rFonts w:cs="Arial" w:asciiTheme="majorHAnsi" w:hAnsiTheme="majorHAnsi"/>
          <w:spacing w:val="33"/>
        </w:rPr>
        <w:t xml:space="preserve"> </w:t>
      </w:r>
      <w:r w:rsidRPr="00D170B2">
        <w:rPr>
          <w:rFonts w:cs="Arial" w:asciiTheme="majorHAnsi" w:hAnsiTheme="majorHAnsi"/>
          <w:spacing w:val="-1"/>
        </w:rPr>
        <w:t>a</w:t>
      </w:r>
      <w:r w:rsidRPr="00D170B2">
        <w:rPr>
          <w:rFonts w:cs="Arial" w:asciiTheme="majorHAnsi" w:hAnsiTheme="majorHAnsi"/>
          <w:spacing w:val="-3"/>
        </w:rPr>
        <w:t>c</w:t>
      </w:r>
      <w:r w:rsidRPr="00D170B2">
        <w:rPr>
          <w:rFonts w:cs="Arial" w:asciiTheme="majorHAnsi" w:hAnsiTheme="majorHAnsi"/>
          <w:spacing w:val="-1"/>
        </w:rPr>
        <w:t>ad</w:t>
      </w:r>
      <w:r w:rsidRPr="00D170B2">
        <w:rPr>
          <w:rFonts w:cs="Arial" w:asciiTheme="majorHAnsi" w:hAnsiTheme="majorHAnsi"/>
          <w:spacing w:val="-2"/>
        </w:rPr>
        <w:t>e</w:t>
      </w:r>
      <w:r w:rsidRPr="00D170B2">
        <w:rPr>
          <w:rFonts w:cs="Arial" w:asciiTheme="majorHAnsi" w:hAnsiTheme="majorHAnsi"/>
          <w:spacing w:val="1"/>
        </w:rPr>
        <w:t>m</w:t>
      </w:r>
      <w:r w:rsidRPr="00D170B2">
        <w:rPr>
          <w:rFonts w:cs="Arial" w:asciiTheme="majorHAnsi" w:hAnsiTheme="majorHAnsi"/>
          <w:spacing w:val="-1"/>
        </w:rPr>
        <w:t>i</w:t>
      </w:r>
      <w:r w:rsidRPr="00D170B2">
        <w:rPr>
          <w:rFonts w:cs="Arial" w:asciiTheme="majorHAnsi" w:hAnsiTheme="majorHAnsi"/>
        </w:rPr>
        <w:t xml:space="preserve">c </w:t>
      </w:r>
      <w:r w:rsidRPr="00D170B2">
        <w:rPr>
          <w:rFonts w:cs="Arial" w:asciiTheme="majorHAnsi" w:hAnsiTheme="majorHAnsi"/>
          <w:spacing w:val="-1"/>
        </w:rPr>
        <w:t>l</w:t>
      </w:r>
      <w:r w:rsidRPr="00D170B2">
        <w:rPr>
          <w:rFonts w:cs="Arial" w:asciiTheme="majorHAnsi" w:hAnsiTheme="majorHAnsi"/>
        </w:rPr>
        <w:t>eve</w:t>
      </w:r>
      <w:r w:rsidRPr="00D170B2">
        <w:rPr>
          <w:rFonts w:cs="Arial" w:asciiTheme="majorHAnsi" w:hAnsiTheme="majorHAnsi"/>
          <w:spacing w:val="-1"/>
        </w:rPr>
        <w:t>l</w:t>
      </w:r>
      <w:r w:rsidRPr="00D170B2">
        <w:rPr>
          <w:rFonts w:cs="Arial" w:asciiTheme="majorHAnsi" w:hAnsiTheme="majorHAnsi"/>
        </w:rPr>
        <w:t>,</w:t>
      </w:r>
      <w:r w:rsidRPr="00D170B2">
        <w:rPr>
          <w:rFonts w:cs="Arial" w:asciiTheme="majorHAnsi" w:hAnsiTheme="majorHAnsi"/>
          <w:spacing w:val="-2"/>
        </w:rPr>
        <w:t xml:space="preserve"> </w:t>
      </w:r>
      <w:r w:rsidRPr="00D170B2">
        <w:rPr>
          <w:rFonts w:cs="Arial" w:asciiTheme="majorHAnsi" w:hAnsiTheme="majorHAnsi"/>
          <w:spacing w:val="-1"/>
        </w:rPr>
        <w:t>i</w:t>
      </w:r>
      <w:r w:rsidRPr="00D170B2">
        <w:rPr>
          <w:rFonts w:cs="Arial" w:asciiTheme="majorHAnsi" w:hAnsiTheme="majorHAnsi"/>
        </w:rPr>
        <w:t>n</w:t>
      </w:r>
      <w:r w:rsidRPr="00D170B2">
        <w:rPr>
          <w:rFonts w:cs="Arial" w:asciiTheme="majorHAnsi" w:hAnsiTheme="majorHAnsi"/>
          <w:spacing w:val="-1"/>
        </w:rPr>
        <w:t xml:space="preserve"> an</w:t>
      </w:r>
      <w:r w:rsidRPr="00D170B2">
        <w:rPr>
          <w:rFonts w:cs="Arial" w:asciiTheme="majorHAnsi" w:hAnsiTheme="majorHAnsi"/>
        </w:rPr>
        <w:t>y</w:t>
      </w:r>
      <w:r w:rsidRPr="00D170B2">
        <w:rPr>
          <w:rFonts w:cs="Arial" w:asciiTheme="majorHAnsi" w:hAnsiTheme="majorHAnsi"/>
          <w:spacing w:val="1"/>
        </w:rPr>
        <w:t xml:space="preserve"> </w:t>
      </w:r>
      <w:r w:rsidRPr="00D170B2">
        <w:rPr>
          <w:rFonts w:cs="Arial" w:asciiTheme="majorHAnsi" w:hAnsiTheme="majorHAnsi"/>
          <w:spacing w:val="-4"/>
        </w:rPr>
        <w:t>p</w:t>
      </w:r>
      <w:r w:rsidRPr="00D170B2">
        <w:rPr>
          <w:rFonts w:cs="Arial" w:asciiTheme="majorHAnsi" w:hAnsiTheme="majorHAnsi"/>
        </w:rPr>
        <w:t>e</w:t>
      </w:r>
      <w:r w:rsidRPr="00D170B2">
        <w:rPr>
          <w:rFonts w:cs="Arial" w:asciiTheme="majorHAnsi" w:hAnsiTheme="majorHAnsi"/>
          <w:spacing w:val="-1"/>
        </w:rPr>
        <w:t>r</w:t>
      </w:r>
      <w:r w:rsidRPr="00D170B2">
        <w:rPr>
          <w:rFonts w:cs="Arial" w:asciiTheme="majorHAnsi" w:hAnsiTheme="majorHAnsi"/>
          <w:spacing w:val="1"/>
        </w:rPr>
        <w:t>m</w:t>
      </w:r>
      <w:r w:rsidRPr="00D170B2">
        <w:rPr>
          <w:rFonts w:cs="Arial" w:asciiTheme="majorHAnsi" w:hAnsiTheme="majorHAnsi"/>
          <w:spacing w:val="-4"/>
        </w:rPr>
        <w:t>u</w:t>
      </w:r>
      <w:r w:rsidRPr="00D170B2">
        <w:rPr>
          <w:rFonts w:cs="Arial" w:asciiTheme="majorHAnsi" w:hAnsiTheme="majorHAnsi"/>
        </w:rPr>
        <w:t>t</w:t>
      </w:r>
      <w:r w:rsidRPr="00D170B2">
        <w:rPr>
          <w:rFonts w:cs="Arial" w:asciiTheme="majorHAnsi" w:hAnsiTheme="majorHAnsi"/>
          <w:spacing w:val="-1"/>
        </w:rPr>
        <w:t>a</w:t>
      </w:r>
      <w:r w:rsidRPr="00D170B2">
        <w:rPr>
          <w:rFonts w:cs="Arial" w:asciiTheme="majorHAnsi" w:hAnsiTheme="majorHAnsi"/>
        </w:rPr>
        <w:t>t</w:t>
      </w:r>
      <w:r w:rsidRPr="00D170B2">
        <w:rPr>
          <w:rFonts w:cs="Arial" w:asciiTheme="majorHAnsi" w:hAnsiTheme="majorHAnsi"/>
          <w:spacing w:val="-3"/>
        </w:rPr>
        <w:t>i</w:t>
      </w:r>
      <w:r w:rsidRPr="00D170B2">
        <w:rPr>
          <w:rFonts w:cs="Arial" w:asciiTheme="majorHAnsi" w:hAnsiTheme="majorHAnsi"/>
          <w:spacing w:val="1"/>
        </w:rPr>
        <w:t>o</w:t>
      </w:r>
      <w:r w:rsidRPr="00D170B2">
        <w:rPr>
          <w:rFonts w:cs="Arial" w:asciiTheme="majorHAnsi" w:hAnsiTheme="majorHAnsi"/>
        </w:rPr>
        <w:t>n</w:t>
      </w:r>
      <w:r w:rsidRPr="00D170B2">
        <w:rPr>
          <w:rFonts w:cs="Arial" w:asciiTheme="majorHAnsi" w:hAnsiTheme="majorHAnsi"/>
          <w:spacing w:val="-1"/>
        </w:rPr>
        <w:t xml:space="preserve"> </w:t>
      </w:r>
      <w:r w:rsidRPr="00D170B2">
        <w:rPr>
          <w:rFonts w:cs="Arial" w:asciiTheme="majorHAnsi" w:hAnsiTheme="majorHAnsi"/>
          <w:spacing w:val="-2"/>
        </w:rPr>
        <w:t>o</w:t>
      </w:r>
      <w:r w:rsidRPr="00D170B2">
        <w:rPr>
          <w:rFonts w:cs="Arial" w:asciiTheme="majorHAnsi" w:hAnsiTheme="majorHAnsi"/>
        </w:rPr>
        <w:t>r c</w:t>
      </w:r>
      <w:r w:rsidRPr="00D170B2">
        <w:rPr>
          <w:rFonts w:cs="Arial" w:asciiTheme="majorHAnsi" w:hAnsiTheme="majorHAnsi"/>
          <w:spacing w:val="-2"/>
        </w:rPr>
        <w:t>o</w:t>
      </w:r>
      <w:r w:rsidRPr="00D170B2">
        <w:rPr>
          <w:rFonts w:cs="Arial" w:asciiTheme="majorHAnsi" w:hAnsiTheme="majorHAnsi"/>
          <w:spacing w:val="1"/>
        </w:rPr>
        <w:t>m</w:t>
      </w:r>
      <w:r w:rsidRPr="00D170B2">
        <w:rPr>
          <w:rFonts w:cs="Arial" w:asciiTheme="majorHAnsi" w:hAnsiTheme="majorHAnsi"/>
          <w:spacing w:val="-1"/>
        </w:rPr>
        <w:t>bina</w:t>
      </w:r>
      <w:r w:rsidRPr="00D170B2">
        <w:rPr>
          <w:rFonts w:cs="Arial" w:asciiTheme="majorHAnsi" w:hAnsiTheme="majorHAnsi"/>
        </w:rPr>
        <w:t>t</w:t>
      </w:r>
      <w:r w:rsidRPr="00D170B2">
        <w:rPr>
          <w:rFonts w:cs="Arial" w:asciiTheme="majorHAnsi" w:hAnsiTheme="majorHAnsi"/>
          <w:spacing w:val="-3"/>
        </w:rPr>
        <w:t>i</w:t>
      </w:r>
      <w:r w:rsidRPr="00D170B2">
        <w:rPr>
          <w:rFonts w:cs="Arial" w:asciiTheme="majorHAnsi" w:hAnsiTheme="majorHAnsi"/>
          <w:spacing w:val="1"/>
        </w:rPr>
        <w:t>o</w:t>
      </w:r>
      <w:r w:rsidRPr="00D170B2">
        <w:rPr>
          <w:rFonts w:cs="Arial" w:asciiTheme="majorHAnsi" w:hAnsiTheme="majorHAnsi"/>
        </w:rPr>
        <w:t>n</w:t>
      </w:r>
      <w:r w:rsidRPr="00D170B2">
        <w:rPr>
          <w:rFonts w:cs="Arial" w:asciiTheme="majorHAnsi" w:hAnsiTheme="majorHAnsi"/>
          <w:spacing w:val="-1"/>
        </w:rPr>
        <w:t xml:space="preserve"> </w:t>
      </w:r>
      <w:r w:rsidRPr="00D170B2">
        <w:rPr>
          <w:rFonts w:cs="Arial" w:asciiTheme="majorHAnsi" w:hAnsiTheme="majorHAnsi"/>
          <w:spacing w:val="1"/>
        </w:rPr>
        <w:t>o</w:t>
      </w:r>
      <w:r w:rsidRPr="00D170B2">
        <w:rPr>
          <w:rFonts w:cs="Arial" w:asciiTheme="majorHAnsi" w:hAnsiTheme="majorHAnsi"/>
        </w:rPr>
        <w:t>f</w:t>
      </w:r>
      <w:r w:rsidRPr="00D170B2">
        <w:rPr>
          <w:rFonts w:cs="Arial" w:asciiTheme="majorHAnsi" w:hAnsiTheme="majorHAnsi"/>
          <w:spacing w:val="-3"/>
        </w:rPr>
        <w:t xml:space="preserve"> </w:t>
      </w:r>
      <w:r w:rsidRPr="00D170B2">
        <w:rPr>
          <w:rFonts w:cs="Arial" w:asciiTheme="majorHAnsi" w:hAnsiTheme="majorHAnsi"/>
          <w:spacing w:val="-2"/>
        </w:rPr>
        <w:t>m</w:t>
      </w:r>
      <w:r w:rsidRPr="00D170B2">
        <w:rPr>
          <w:rFonts w:cs="Arial" w:asciiTheme="majorHAnsi" w:hAnsiTheme="majorHAnsi"/>
          <w:spacing w:val="1"/>
        </w:rPr>
        <w:t>o</w:t>
      </w:r>
      <w:r w:rsidRPr="00D170B2">
        <w:rPr>
          <w:rFonts w:cs="Arial" w:asciiTheme="majorHAnsi" w:hAnsiTheme="majorHAnsi"/>
          <w:spacing w:val="-1"/>
        </w:rPr>
        <w:t>dul</w:t>
      </w:r>
      <w:r w:rsidRPr="00D170B2">
        <w:rPr>
          <w:rFonts w:cs="Arial" w:asciiTheme="majorHAnsi" w:hAnsiTheme="majorHAnsi"/>
        </w:rPr>
        <w:t>e</w:t>
      </w:r>
      <w:r w:rsidRPr="00D170B2">
        <w:rPr>
          <w:rFonts w:cs="Arial" w:asciiTheme="majorHAnsi" w:hAnsiTheme="majorHAnsi"/>
          <w:spacing w:val="-2"/>
        </w:rPr>
        <w:t xml:space="preserve"> </w:t>
      </w:r>
      <w:r w:rsidRPr="00D170B2">
        <w:rPr>
          <w:rFonts w:cs="Arial" w:asciiTheme="majorHAnsi" w:hAnsiTheme="majorHAnsi"/>
          <w:spacing w:val="-1"/>
        </w:rPr>
        <w:t>siz</w:t>
      </w:r>
      <w:r w:rsidRPr="00D170B2">
        <w:rPr>
          <w:rFonts w:cs="Arial" w:asciiTheme="majorHAnsi" w:hAnsiTheme="majorHAnsi"/>
        </w:rPr>
        <w:t>e</w:t>
      </w:r>
      <w:r w:rsidRPr="00D170B2">
        <w:rPr>
          <w:rFonts w:cs="Arial" w:asciiTheme="majorHAnsi" w:hAnsiTheme="majorHAnsi"/>
          <w:spacing w:val="-1"/>
        </w:rPr>
        <w:t>s</w:t>
      </w:r>
      <w:r w:rsidRPr="00D170B2">
        <w:rPr>
          <w:rFonts w:cs="Arial" w:asciiTheme="majorHAnsi" w:hAnsiTheme="majorHAnsi"/>
        </w:rPr>
        <w:t xml:space="preserve">. </w:t>
      </w:r>
      <w:r w:rsidRPr="0050702E">
        <w:rPr>
          <w:rFonts w:cs="Arial" w:asciiTheme="majorHAnsi" w:hAnsiTheme="majorHAnsi"/>
        </w:rPr>
        <w:t>Reassessment in DRAD1008, DRAD2008 and DRAD3008 (clinical practice modules) is limited to one opportunity only.</w:t>
      </w:r>
    </w:p>
    <w:p w:rsidR="00255F0F" w:rsidP="00255F0F" w:rsidRDefault="00255F0F">
      <w:pPr>
        <w:pStyle w:val="BodyText"/>
        <w:kinsoku w:val="0"/>
        <w:overflowPunct w:val="0"/>
        <w:spacing w:line="276" w:lineRule="auto"/>
        <w:ind w:right="122"/>
        <w:jc w:val="both"/>
        <w:rPr>
          <w:rFonts w:cs="Arial" w:asciiTheme="majorHAnsi" w:hAnsiTheme="majorHAnsi"/>
        </w:rPr>
      </w:pPr>
    </w:p>
    <w:p w:rsidR="00255F0F" w:rsidP="00255F0F" w:rsidRDefault="00255F0F">
      <w:pPr>
        <w:pStyle w:val="Heading4"/>
      </w:pPr>
      <w:r>
        <w:t>Repeating an undergraduate level of study</w:t>
      </w:r>
    </w:p>
    <w:p w:rsidR="00255F0F" w:rsidP="00255F0F" w:rsidRDefault="00255F0F">
      <w:pPr>
        <w:kinsoku w:val="0"/>
        <w:overflowPunct w:val="0"/>
        <w:spacing w:line="276" w:lineRule="auto"/>
        <w:ind w:right="122"/>
        <w:jc w:val="both"/>
        <w:rPr>
          <w:rFonts w:cs="Arial" w:asciiTheme="majorHAnsi" w:hAnsiTheme="majorHAnsi"/>
        </w:rPr>
      </w:pPr>
      <w:r w:rsidRPr="00D170B2">
        <w:rPr>
          <w:rFonts w:cs="Arial" w:asciiTheme="majorHAnsi" w:hAnsiTheme="majorHAnsi"/>
        </w:rPr>
        <w:t xml:space="preserve">Students on the programme do not qualify for an automatic repeat of Year 1 if they have gained 60 credits. </w:t>
      </w:r>
    </w:p>
    <w:p w:rsidR="00CA5F32" w:rsidP="00255F0F" w:rsidRDefault="00CA5F32">
      <w:pPr>
        <w:kinsoku w:val="0"/>
        <w:overflowPunct w:val="0"/>
        <w:spacing w:line="276" w:lineRule="auto"/>
        <w:ind w:right="122"/>
        <w:jc w:val="both"/>
        <w:rPr>
          <w:rFonts w:cs="Arial" w:asciiTheme="majorHAnsi" w:hAnsiTheme="majorHAnsi"/>
        </w:rPr>
      </w:pPr>
    </w:p>
    <w:p w:rsidR="00170B83" w:rsidP="002A5FDA" w:rsidRDefault="00170B83"/>
    <w:p w:rsidR="00170B83" w:rsidP="00170B83" w:rsidRDefault="00170B83">
      <w:pPr>
        <w:pStyle w:val="Heading3"/>
      </w:pPr>
      <w:r>
        <w:t>Health and Professional Practice BSc (Hons)/BSc/</w:t>
      </w:r>
      <w:proofErr w:type="spellStart"/>
      <w:r>
        <w:t>GradCert</w:t>
      </w:r>
      <w:proofErr w:type="spellEnd"/>
      <w:r>
        <w:t>/</w:t>
      </w:r>
      <w:proofErr w:type="spellStart"/>
      <w:r>
        <w:t>GradDip</w:t>
      </w:r>
      <w:proofErr w:type="spellEnd"/>
      <w:r>
        <w:t>, B70051</w:t>
      </w:r>
    </w:p>
    <w:p w:rsidRPr="00BD62D2" w:rsidR="00170B83" w:rsidP="00170B83" w:rsidRDefault="00170B83">
      <w:pPr>
        <w:pStyle w:val="headingunderline"/>
      </w:pPr>
    </w:p>
    <w:p w:rsidR="00170B83" w:rsidP="00170B83" w:rsidRDefault="00170B83">
      <w:pPr>
        <w:pStyle w:val="Heading4"/>
      </w:pPr>
      <w:r>
        <w:t>Passing a module/Compensation</w:t>
      </w:r>
    </w:p>
    <w:p w:rsidR="00170B83" w:rsidP="00170B83" w:rsidRDefault="00170B83">
      <w:r>
        <w:t>All module components must be passed at 40 per cent. All zero-credit (pass/fail) components must be passed.</w:t>
      </w:r>
      <w:r w:rsidRPr="00401F6C">
        <w:t xml:space="preserve"> </w:t>
      </w:r>
      <w:r>
        <w:t>No compensation is available.</w:t>
      </w:r>
    </w:p>
    <w:p w:rsidR="00170B83" w:rsidP="00170B83" w:rsidRDefault="00170B83"/>
    <w:p w:rsidR="00170B83" w:rsidP="00170B83" w:rsidRDefault="00170B83">
      <w:pPr>
        <w:pStyle w:val="Heading4"/>
      </w:pPr>
      <w:r>
        <w:t>Maximum periods of registration</w:t>
      </w:r>
      <w:r>
        <w:tab/>
      </w:r>
    </w:p>
    <w:p w:rsidR="00170B83" w:rsidP="00170B83" w:rsidRDefault="00170B83">
      <w:r>
        <w:t>The maximum periods of registration will normally be four years on the BSc/</w:t>
      </w:r>
      <w:proofErr w:type="spellStart"/>
      <w:r>
        <w:t>GradCert</w:t>
      </w:r>
      <w:proofErr w:type="spellEnd"/>
      <w:r>
        <w:t xml:space="preserve"> and six years on the BSc (Hons)/</w:t>
      </w:r>
      <w:proofErr w:type="spellStart"/>
      <w:r>
        <w:t>GradDip</w:t>
      </w:r>
      <w:proofErr w:type="spellEnd"/>
      <w:r>
        <w:t>.</w:t>
      </w:r>
    </w:p>
    <w:p w:rsidR="00170B83" w:rsidP="00170B83" w:rsidRDefault="00170B83"/>
    <w:p w:rsidR="00170B83" w:rsidP="00170B83" w:rsidRDefault="00170B83">
      <w:pPr>
        <w:pStyle w:val="Heading4"/>
      </w:pPr>
      <w:r>
        <w:t>Recognition of Prior Learning (RPL)</w:t>
      </w:r>
      <w:r>
        <w:tab/>
      </w:r>
    </w:p>
    <w:p w:rsidR="00170B83" w:rsidP="00170B83" w:rsidRDefault="00170B83">
      <w:r>
        <w:t>For non-honours students 15 credits of RPL are available at level 6. For honours students 45 credits of RPL are available at level 6.</w:t>
      </w:r>
    </w:p>
    <w:p w:rsidR="00170B83" w:rsidP="00170B83" w:rsidRDefault="00170B83"/>
    <w:p w:rsidR="00170B83" w:rsidP="00170B83" w:rsidRDefault="00170B83">
      <w:pPr>
        <w:pStyle w:val="Heading4"/>
      </w:pPr>
      <w:r>
        <w:t xml:space="preserve">Classification of awards </w:t>
      </w:r>
      <w:r>
        <w:tab/>
      </w:r>
    </w:p>
    <w:p w:rsidR="00170B83" w:rsidP="00170B83" w:rsidRDefault="00170B83">
      <w:r>
        <w:t>This is a level 6 programme and is therefore classified on the best 105 level 6 credits.</w:t>
      </w:r>
    </w:p>
    <w:p w:rsidR="00170B83" w:rsidP="00170B83" w:rsidRDefault="00170B83"/>
    <w:p w:rsidR="00333AC1" w:rsidP="000F6ED8" w:rsidRDefault="00170B83">
      <w:r>
        <w:t>Where a student has studied and passed more than 120 credits, degree classification will be based on an average of the total number of credits, excluding the 30 credits with the lowest mark(s). Where a student has studied and passed less than 120 level 6 credits (due to RPL) classification will be based upon the average of the marks for all modules studied.</w:t>
      </w:r>
    </w:p>
    <w:p w:rsidR="001C42AD" w:rsidP="000F6ED8" w:rsidRDefault="001C42AD"/>
    <w:p w:rsidR="001C42AD" w:rsidP="000F6ED8" w:rsidRDefault="001C42AD"/>
    <w:p w:rsidR="001C42AD" w:rsidP="000F6ED8" w:rsidRDefault="001C42AD"/>
    <w:p w:rsidRPr="001B5D15" w:rsidR="000F6ED8" w:rsidP="000F6ED8" w:rsidRDefault="000F6ED8">
      <w:pPr>
        <w:pStyle w:val="Heading3"/>
        <w:rPr>
          <w:strike/>
          <w:color w:val="FF0000"/>
        </w:rPr>
      </w:pPr>
      <w:bookmarkStart w:name="_Toc507515642" w:id="5"/>
      <w:r>
        <w:t>Healthcare Science (Audiology) BSc (Hons), B61044</w:t>
      </w:r>
      <w:bookmarkEnd w:id="5"/>
    </w:p>
    <w:p w:rsidR="000F6ED8" w:rsidP="000F6ED8" w:rsidRDefault="000F6ED8">
      <w:pPr>
        <w:pStyle w:val="NoSpacing"/>
      </w:pPr>
      <w:r>
        <w:t>Heal</w:t>
      </w:r>
      <w:r w:rsidR="005907E1">
        <w:t xml:space="preserve">th and Care Professions Council </w:t>
      </w:r>
      <w:r w:rsidR="00CA611B">
        <w:t xml:space="preserve">(HCPC) </w:t>
      </w:r>
      <w:r w:rsidR="005907E1">
        <w:t xml:space="preserve">and </w:t>
      </w:r>
      <w:r>
        <w:t>National School of Healthcare Science</w:t>
      </w:r>
    </w:p>
    <w:p w:rsidRPr="00B82D90" w:rsidR="000F6ED8" w:rsidP="000F6ED8" w:rsidRDefault="000F6ED8">
      <w:pPr>
        <w:pStyle w:val="headingunderline"/>
      </w:pPr>
    </w:p>
    <w:p w:rsidR="000F6ED8" w:rsidP="000F6ED8" w:rsidRDefault="00401F6C">
      <w:pPr>
        <w:pStyle w:val="Heading4"/>
      </w:pPr>
      <w:r>
        <w:t>Passing a module/</w:t>
      </w:r>
      <w:r w:rsidR="000F6ED8">
        <w:t>Compensation</w:t>
      </w:r>
      <w:r w:rsidR="000F6ED8">
        <w:tab/>
      </w:r>
    </w:p>
    <w:p w:rsidR="000F6ED8" w:rsidP="000F6ED8" w:rsidRDefault="000F6ED8">
      <w:r>
        <w:t xml:space="preserve">For the clinical practice modules all module components must be passed at 40 per cent. All other modules must be passed at 40 per cent. No compensation is available. </w:t>
      </w:r>
    </w:p>
    <w:p w:rsidR="000F6ED8" w:rsidP="000F6ED8" w:rsidRDefault="000F6ED8"/>
    <w:p w:rsidR="000F6ED8" w:rsidP="000F6ED8" w:rsidRDefault="000F6ED8">
      <w:pPr>
        <w:pStyle w:val="Heading4"/>
      </w:pPr>
      <w:r>
        <w:t>Repeating an undergraduate level of study</w:t>
      </w:r>
      <w:r>
        <w:tab/>
      </w:r>
    </w:p>
    <w:p w:rsidR="000F6ED8" w:rsidP="000F6ED8" w:rsidRDefault="00A21C4D">
      <w:r>
        <w:t>Students are not permitted to repeat an undergraduate level of study.</w:t>
      </w:r>
    </w:p>
    <w:p w:rsidR="000F6ED8" w:rsidP="000F6ED8" w:rsidRDefault="000F6ED8"/>
    <w:p w:rsidR="000F6ED8" w:rsidP="000F6ED8" w:rsidRDefault="000F6ED8">
      <w:pPr>
        <w:pStyle w:val="Heading4"/>
      </w:pPr>
      <w:r>
        <w:t>Reassessment of failure</w:t>
      </w:r>
      <w:r>
        <w:tab/>
      </w:r>
    </w:p>
    <w:p w:rsidR="000F6ED8" w:rsidP="000F6ED8" w:rsidRDefault="000F6ED8">
      <w:r>
        <w:t>Students undertake a mix of level 5 and level 6 modules during their second and third years as follows:</w:t>
      </w:r>
    </w:p>
    <w:p w:rsidR="005907E1" w:rsidP="00B77A96" w:rsidRDefault="000F6ED8">
      <w:pPr>
        <w:pStyle w:val="ListParagraph"/>
        <w:numPr>
          <w:ilvl w:val="0"/>
          <w:numId w:val="2"/>
        </w:numPr>
        <w:ind w:left="360"/>
      </w:pPr>
      <w:r>
        <w:t>Second year: 60 credits at level 5 and 60 credits at level 6</w:t>
      </w:r>
    </w:p>
    <w:p w:rsidR="000F6ED8" w:rsidP="00B77A96" w:rsidRDefault="000F6ED8">
      <w:pPr>
        <w:pStyle w:val="ListParagraph"/>
        <w:numPr>
          <w:ilvl w:val="0"/>
          <w:numId w:val="2"/>
        </w:numPr>
        <w:ind w:left="360"/>
      </w:pPr>
      <w:r>
        <w:t>Third year: 60 credits at level 5 and 60 credits at level 6</w:t>
      </w:r>
    </w:p>
    <w:p w:rsidR="000F6ED8" w:rsidP="000F6ED8" w:rsidRDefault="000F6ED8"/>
    <w:p w:rsidR="000F6ED8" w:rsidP="000F6ED8" w:rsidRDefault="000F6ED8">
      <w:r>
        <w:t>Students will be allowed a maximum of 60 credits of reassessment in each year of study, with no more than 30 credits of reassessment in each year of study at each level.</w:t>
      </w:r>
    </w:p>
    <w:p w:rsidR="00814B4B" w:rsidP="000F6ED8" w:rsidRDefault="00814B4B"/>
    <w:p w:rsidR="00814B4B" w:rsidP="000F6ED8" w:rsidRDefault="00814B4B"/>
    <w:p w:rsidRPr="00E04DB2" w:rsidR="001B5D15" w:rsidP="001B5D15" w:rsidRDefault="001B5D15">
      <w:pPr>
        <w:pStyle w:val="Heading3"/>
      </w:pPr>
      <w:r w:rsidRPr="00E04DB2">
        <w:t>Healthcare Science (Audiology) Top-up BSc (Hons), B61045</w:t>
      </w:r>
    </w:p>
    <w:p w:rsidRPr="00E04DB2" w:rsidR="001B5D15" w:rsidP="001B5D15" w:rsidRDefault="001B5D15">
      <w:pPr>
        <w:pStyle w:val="NoSpacing"/>
      </w:pPr>
      <w:r w:rsidRPr="00E04DB2">
        <w:t>Health and Care Professions Council (HCPC) and National School of Healthcare Science</w:t>
      </w:r>
    </w:p>
    <w:p w:rsidRPr="001B5D15" w:rsidR="001B5D15" w:rsidP="001B5D15" w:rsidRDefault="001B5D15">
      <w:pPr>
        <w:pStyle w:val="NoSpacing"/>
        <w:rPr>
          <w:color w:val="FF0000"/>
        </w:rPr>
      </w:pPr>
    </w:p>
    <w:p w:rsidRPr="00E04DB2" w:rsidR="001B5D15" w:rsidP="001B5D15" w:rsidRDefault="001B5D15">
      <w:pPr>
        <w:pStyle w:val="Heading4"/>
      </w:pPr>
      <w:r w:rsidRPr="00E04DB2">
        <w:t>Passing a module/Compensation</w:t>
      </w:r>
      <w:r w:rsidRPr="00E04DB2">
        <w:tab/>
      </w:r>
    </w:p>
    <w:p w:rsidRPr="00E04DB2" w:rsidR="001B5D15" w:rsidP="001B5D15" w:rsidRDefault="001B5D15">
      <w:r w:rsidRPr="00E04DB2">
        <w:t xml:space="preserve">For the clinical practice modules all module components must be passed at 40 per cent. All other modules must be passed at 40 per cent. No compensation is available. </w:t>
      </w:r>
    </w:p>
    <w:p w:rsidRPr="00E04DB2" w:rsidR="001B5D15" w:rsidP="001B5D15" w:rsidRDefault="001B5D15"/>
    <w:p w:rsidRPr="001B5D15" w:rsidR="001B5D15" w:rsidP="001B5D15" w:rsidRDefault="001B5D15">
      <w:pPr>
        <w:pStyle w:val="Heading4"/>
        <w:rPr>
          <w:color w:val="FF0000"/>
        </w:rPr>
      </w:pPr>
      <w:r w:rsidRPr="00E04DB2">
        <w:t>Repeating an undergraduate level of study</w:t>
      </w:r>
      <w:r w:rsidRPr="001B5D15">
        <w:rPr>
          <w:color w:val="FF0000"/>
        </w:rPr>
        <w:tab/>
      </w:r>
    </w:p>
    <w:p w:rsidRPr="00E04DB2" w:rsidR="001B5D15" w:rsidP="001B5D15" w:rsidRDefault="001B5D15">
      <w:r w:rsidRPr="00E04DB2">
        <w:t>Students are not permitted to repeat an undergraduate level of study.</w:t>
      </w:r>
    </w:p>
    <w:p w:rsidRPr="001B5D15" w:rsidR="001B5D15" w:rsidP="001B5D15" w:rsidRDefault="001B5D15">
      <w:pPr>
        <w:rPr>
          <w:color w:val="FF0000"/>
        </w:rPr>
      </w:pPr>
    </w:p>
    <w:p w:rsidRPr="001B5D15" w:rsidR="001B5D15" w:rsidP="001B5D15" w:rsidRDefault="001B5D15">
      <w:pPr>
        <w:pStyle w:val="Heading4"/>
        <w:rPr>
          <w:color w:val="FF0000"/>
        </w:rPr>
      </w:pPr>
      <w:r w:rsidRPr="00E04DB2">
        <w:t>Reassessment of failure</w:t>
      </w:r>
      <w:r w:rsidRPr="001B5D15">
        <w:rPr>
          <w:color w:val="FF0000"/>
        </w:rPr>
        <w:tab/>
      </w:r>
    </w:p>
    <w:p w:rsidRPr="00BD5DD6" w:rsidR="001B5D15" w:rsidP="001B5D15" w:rsidRDefault="001B5D15">
      <w:pPr>
        <w:jc w:val="both"/>
        <w:rPr>
          <w:rFonts w:cstheme="minorHAnsi"/>
          <w:color w:val="FF0000"/>
        </w:rPr>
      </w:pPr>
      <w:r w:rsidRPr="00E04DB2">
        <w:t>Students will be allowed a maximum</w:t>
      </w:r>
      <w:r w:rsidRPr="00E04DB2">
        <w:rPr>
          <w:rFonts w:cstheme="minorHAnsi"/>
        </w:rPr>
        <w:t xml:space="preserve"> of 60 credits of reassessment at level 6 and 15 credits at level 5 in total over either the 2 or the </w:t>
      </w:r>
      <w:proofErr w:type="gramStart"/>
      <w:r w:rsidRPr="00E04DB2">
        <w:rPr>
          <w:rFonts w:cstheme="minorHAnsi"/>
        </w:rPr>
        <w:t>3 year</w:t>
      </w:r>
      <w:proofErr w:type="gramEnd"/>
      <w:r w:rsidRPr="00E04DB2">
        <w:rPr>
          <w:rFonts w:cstheme="minorHAnsi"/>
        </w:rPr>
        <w:t xml:space="preserve"> route. </w:t>
      </w:r>
      <w:r w:rsidRPr="00BD5DD6" w:rsidR="00BD5DD6">
        <w:rPr>
          <w:rFonts w:cstheme="minorHAnsi"/>
          <w:color w:val="FF0000"/>
        </w:rPr>
        <w:t xml:space="preserve"> </w:t>
      </w:r>
    </w:p>
    <w:p w:rsidR="001B5D15" w:rsidP="001B5D15" w:rsidRDefault="001B5D15"/>
    <w:p w:rsidR="001B5D15" w:rsidP="001B5D15" w:rsidRDefault="001B5D15"/>
    <w:p w:rsidRPr="00E04DB2" w:rsidR="00912A20" w:rsidP="00912A20" w:rsidRDefault="00912A20">
      <w:pPr>
        <w:rPr>
          <w:b/>
          <w:color w:val="548AB7" w:themeColor="accent1" w:themeShade="BF"/>
        </w:rPr>
      </w:pPr>
      <w:r w:rsidRPr="00E04DB2">
        <w:rPr>
          <w:b/>
          <w:color w:val="548AB7" w:themeColor="accent1" w:themeShade="BF"/>
        </w:rPr>
        <w:t xml:space="preserve">Healthcare Science (Audiology) BSc (Hons), B61046 </w:t>
      </w:r>
    </w:p>
    <w:p w:rsidRPr="00E04DB2" w:rsidR="00912A20" w:rsidP="00912A20" w:rsidRDefault="00912A20">
      <w:pPr>
        <w:rPr>
          <w:i/>
          <w:color w:val="548AB7" w:themeColor="accent1" w:themeShade="BF"/>
          <w:lang w:val="en-US"/>
        </w:rPr>
      </w:pPr>
      <w:r w:rsidRPr="00E04DB2">
        <w:rPr>
          <w:i/>
          <w:color w:val="548AB7" w:themeColor="accent1" w:themeShade="BF"/>
          <w:lang w:val="en-US"/>
        </w:rPr>
        <w:t>Health and Care Professions Council (HCPC) and National School of Healthcare Science</w:t>
      </w:r>
    </w:p>
    <w:p w:rsidRPr="00912A20" w:rsidR="00912A20" w:rsidP="00912A20" w:rsidRDefault="00912A20">
      <w:pPr>
        <w:rPr>
          <w:i/>
          <w:color w:val="00B050"/>
          <w:lang w:val="en-US"/>
        </w:rPr>
      </w:pPr>
    </w:p>
    <w:p w:rsidRPr="00E04DB2" w:rsidR="00912A20" w:rsidP="00912A20" w:rsidRDefault="00912A20">
      <w:pPr>
        <w:rPr>
          <w:iCs/>
          <w:color w:val="80865A" w:themeColor="accent3" w:themeShade="BF"/>
        </w:rPr>
      </w:pPr>
      <w:r w:rsidRPr="00E04DB2">
        <w:rPr>
          <w:iCs/>
          <w:color w:val="80865A" w:themeColor="accent3" w:themeShade="BF"/>
        </w:rPr>
        <w:t>Passing a module/Compensation</w:t>
      </w:r>
      <w:r w:rsidRPr="00E04DB2">
        <w:rPr>
          <w:iCs/>
          <w:color w:val="80865A" w:themeColor="accent3" w:themeShade="BF"/>
        </w:rPr>
        <w:tab/>
      </w:r>
    </w:p>
    <w:p w:rsidRPr="00E04DB2" w:rsidR="00912A20" w:rsidP="00912A20" w:rsidRDefault="00912A20">
      <w:pPr>
        <w:spacing w:line="240" w:lineRule="atLeast"/>
        <w:jc w:val="both"/>
        <w:rPr>
          <w:rFonts w:cs="Calibri"/>
        </w:rPr>
      </w:pPr>
      <w:r w:rsidRPr="00E04DB2">
        <w:rPr>
          <w:rFonts w:cs="Calibri"/>
        </w:rPr>
        <w:t>There are parts of the programme that are compulsory which you must pass to progress and graduate. All modules have a minimum 40% pass mark overal</w:t>
      </w:r>
      <w:r w:rsidRPr="00E04DB2" w:rsidR="001F4E08">
        <w:rPr>
          <w:rFonts w:cs="Calibri"/>
        </w:rPr>
        <w:t>l (no compensation is available).</w:t>
      </w:r>
      <w:r w:rsidRPr="00E04DB2">
        <w:rPr>
          <w:rFonts w:cs="Calibri"/>
        </w:rPr>
        <w:t xml:space="preserve"> </w:t>
      </w:r>
      <w:r w:rsidRPr="00E04DB2" w:rsidR="001F4E08">
        <w:rPr>
          <w:rFonts w:cs="Calibri"/>
        </w:rPr>
        <w:t xml:space="preserve">All module components also have a minimum 40% pass mark </w:t>
      </w:r>
      <w:r w:rsidRPr="00E04DB2">
        <w:rPr>
          <w:rFonts w:cs="Calibri"/>
        </w:rPr>
        <w:t xml:space="preserve">(unless otherwise stated). </w:t>
      </w:r>
    </w:p>
    <w:p w:rsidRPr="00912A20" w:rsidR="00912A20" w:rsidP="00912A20" w:rsidRDefault="00912A20">
      <w:pPr>
        <w:rPr>
          <w:rFonts w:ascii="Calibri" w:hAnsi="Calibri" w:cs="Calibri"/>
          <w:iCs/>
          <w:color w:val="00B050"/>
        </w:rPr>
      </w:pPr>
    </w:p>
    <w:p w:rsidRPr="00912A20" w:rsidR="00912A20" w:rsidP="00912A20" w:rsidRDefault="00912A20">
      <w:pPr>
        <w:rPr>
          <w:iCs/>
          <w:color w:val="00B050"/>
        </w:rPr>
      </w:pPr>
      <w:r w:rsidRPr="00E04DB2">
        <w:rPr>
          <w:iCs/>
          <w:color w:val="80865A" w:themeColor="accent3" w:themeShade="BF"/>
        </w:rPr>
        <w:t>Repeating an undergraduate level of study</w:t>
      </w:r>
      <w:r w:rsidRPr="00912A20">
        <w:rPr>
          <w:iCs/>
          <w:color w:val="00B050"/>
        </w:rPr>
        <w:tab/>
      </w:r>
    </w:p>
    <w:p w:rsidRPr="00E04DB2" w:rsidR="00912A20" w:rsidP="00912A20" w:rsidRDefault="00912A20">
      <w:r w:rsidRPr="00E04DB2">
        <w:t>Students are not permitted to repeat an undergraduate level of study.</w:t>
      </w:r>
    </w:p>
    <w:p w:rsidRPr="00912A20" w:rsidR="00912A20" w:rsidP="00912A20" w:rsidRDefault="00912A20">
      <w:pPr>
        <w:rPr>
          <w:color w:val="00B050"/>
        </w:rPr>
      </w:pPr>
    </w:p>
    <w:p w:rsidRPr="00E04DB2" w:rsidR="00912A20" w:rsidP="00912A20" w:rsidRDefault="00912A20">
      <w:pPr>
        <w:rPr>
          <w:color w:val="80865A" w:themeColor="accent3" w:themeShade="BF"/>
        </w:rPr>
      </w:pPr>
      <w:r w:rsidRPr="00E04DB2">
        <w:rPr>
          <w:color w:val="80865A" w:themeColor="accent3" w:themeShade="BF"/>
        </w:rPr>
        <w:t>Undergraduate awards </w:t>
      </w:r>
    </w:p>
    <w:p w:rsidRPr="00E04DB2" w:rsidR="00912A20" w:rsidP="00912A20" w:rsidRDefault="00912A20">
      <w:pPr>
        <w:jc w:val="both"/>
      </w:pPr>
      <w:r w:rsidRPr="00E04DB2">
        <w:rPr>
          <w:bCs/>
        </w:rPr>
        <w:t xml:space="preserve">Although the university regulation does allow the consideration of an </w:t>
      </w:r>
      <w:proofErr w:type="spellStart"/>
      <w:r w:rsidRPr="00E04DB2">
        <w:rPr>
          <w:bCs/>
        </w:rPr>
        <w:t>Aegrotat</w:t>
      </w:r>
      <w:proofErr w:type="spellEnd"/>
      <w:r w:rsidRPr="00E04DB2">
        <w:rPr>
          <w:bCs/>
        </w:rPr>
        <w:t xml:space="preserve"> award, it should be noted that if an individual were given such an award as part of the programme they </w:t>
      </w:r>
      <w:r w:rsidRPr="00E04DB2" w:rsidR="001F4E08">
        <w:rPr>
          <w:bCs/>
        </w:rPr>
        <w:t>would</w:t>
      </w:r>
      <w:r w:rsidRPr="00E04DB2">
        <w:rPr>
          <w:bCs/>
        </w:rPr>
        <w:t xml:space="preserve"> </w:t>
      </w:r>
      <w:r w:rsidRPr="00E04DB2">
        <w:rPr>
          <w:bCs/>
          <w:u w:val="single"/>
        </w:rPr>
        <w:t>not be eligible to apply for HCPC registration</w:t>
      </w:r>
      <w:r w:rsidRPr="00E04DB2">
        <w:rPr>
          <w:bCs/>
        </w:rPr>
        <w:t xml:space="preserve">.  </w:t>
      </w:r>
      <w:r w:rsidRPr="00E04DB2">
        <w:t xml:space="preserve">This is because the Health and Care Professions Council do not allow consideration of an </w:t>
      </w:r>
      <w:proofErr w:type="spellStart"/>
      <w:r w:rsidRPr="00E04DB2">
        <w:t>Aegrotat</w:t>
      </w:r>
      <w:proofErr w:type="spellEnd"/>
      <w:r w:rsidRPr="00E04DB2">
        <w:t xml:space="preserve"> award. </w:t>
      </w:r>
      <w:r w:rsidRPr="00E04DB2">
        <w:rPr>
          <w:bCs/>
        </w:rPr>
        <w:t xml:space="preserve"> </w:t>
      </w:r>
    </w:p>
    <w:p w:rsidR="00912A20" w:rsidP="001B5D15" w:rsidRDefault="00912A20"/>
    <w:p w:rsidR="00912A20" w:rsidP="001B5D15" w:rsidRDefault="00912A20"/>
    <w:p w:rsidR="000F6ED8" w:rsidP="000F6ED8" w:rsidRDefault="000F6ED8">
      <w:pPr>
        <w:pStyle w:val="Heading3"/>
      </w:pPr>
      <w:bookmarkStart w:name="_Toc507515643" w:id="6"/>
      <w:r>
        <w:t xml:space="preserve">Hearing Aid Audiology </w:t>
      </w:r>
      <w:proofErr w:type="spellStart"/>
      <w:r>
        <w:t>FdSc</w:t>
      </w:r>
      <w:proofErr w:type="spellEnd"/>
      <w:r>
        <w:t>, B61011</w:t>
      </w:r>
      <w:bookmarkEnd w:id="6"/>
      <w:r w:rsidR="007D1F3E">
        <w:t xml:space="preserve"> / B61012 </w:t>
      </w:r>
    </w:p>
    <w:p w:rsidRPr="003D3B9C" w:rsidR="007D1F3E" w:rsidP="007D1F3E" w:rsidRDefault="007D1F3E">
      <w:pPr>
        <w:pStyle w:val="NoSpacing"/>
      </w:pPr>
      <w:r>
        <w:t>Health and Care Professions Council (HCPC)</w:t>
      </w:r>
    </w:p>
    <w:p w:rsidR="000F6ED8" w:rsidP="000F6ED8" w:rsidRDefault="000F6ED8">
      <w:pPr>
        <w:pStyle w:val="headingunderline"/>
      </w:pPr>
    </w:p>
    <w:p w:rsidR="000F6ED8" w:rsidP="000F6ED8" w:rsidRDefault="00A21C4D">
      <w:pPr>
        <w:pStyle w:val="Heading4"/>
      </w:pPr>
      <w:r>
        <w:t xml:space="preserve">Passing a module/Compensation </w:t>
      </w:r>
    </w:p>
    <w:p w:rsidR="000F6ED8" w:rsidP="000F6ED8" w:rsidRDefault="000F6ED8">
      <w:r>
        <w:t xml:space="preserve">All modules are </w:t>
      </w:r>
      <w:r w:rsidR="000D54CB">
        <w:t>must-pass</w:t>
      </w:r>
      <w:r>
        <w:t xml:space="preserve"> modules and students must achieve a pass mark of 40 per cent</w:t>
      </w:r>
      <w:r w:rsidR="007D1F3E">
        <w:t xml:space="preserve"> (unless otherwise stated). </w:t>
      </w:r>
      <w:r w:rsidR="00AA5F2B">
        <w:t>No compensation is available</w:t>
      </w:r>
      <w:r w:rsidR="00A21C4D">
        <w:t>.</w:t>
      </w:r>
    </w:p>
    <w:p w:rsidR="000F6ED8" w:rsidP="000F6ED8" w:rsidRDefault="000F6ED8"/>
    <w:p w:rsidR="000F6ED8" w:rsidP="000F6ED8" w:rsidRDefault="000F6ED8">
      <w:pPr>
        <w:pStyle w:val="Heading4"/>
      </w:pPr>
      <w:r>
        <w:t xml:space="preserve">Reassessment of failure </w:t>
      </w:r>
      <w:r>
        <w:tab/>
      </w:r>
    </w:p>
    <w:p w:rsidR="000F6ED8" w:rsidP="000F6ED8" w:rsidRDefault="007D1F3E">
      <w:r>
        <w:t>S</w:t>
      </w:r>
      <w:r w:rsidR="000F6ED8">
        <w:t>tudents will have a maximum of 90 credits of reassessment opportunities for the entire programme.</w:t>
      </w:r>
    </w:p>
    <w:p w:rsidR="000F6ED8" w:rsidP="000F6ED8" w:rsidRDefault="000F6ED8"/>
    <w:p w:rsidR="000F6ED8" w:rsidP="000F6ED8" w:rsidRDefault="000F6ED8">
      <w:pPr>
        <w:pStyle w:val="Heading4"/>
      </w:pPr>
      <w:r>
        <w:t>Undergraduate awards</w:t>
      </w:r>
      <w:r>
        <w:tab/>
      </w:r>
    </w:p>
    <w:p w:rsidR="000F6ED8" w:rsidP="000F6ED8" w:rsidRDefault="000F6ED8">
      <w:r>
        <w:t xml:space="preserve">Students must complete the </w:t>
      </w:r>
      <w:r w:rsidR="007D1F3E">
        <w:t>Practical Proficiency Handbook and Record (PPHR)</w:t>
      </w:r>
      <w:r>
        <w:t xml:space="preserve"> of their practical training through the two years in order to receive the award.</w:t>
      </w:r>
    </w:p>
    <w:p w:rsidR="000F6ED8" w:rsidP="000F6ED8" w:rsidRDefault="000F6ED8"/>
    <w:p w:rsidR="00E449D4" w:rsidP="000F6ED8" w:rsidRDefault="00E449D4"/>
    <w:p w:rsidR="002323D2" w:rsidP="002323D2" w:rsidRDefault="002323D2">
      <w:pPr>
        <w:pStyle w:val="Heading3"/>
      </w:pPr>
      <w:bookmarkStart w:name="_Human_Communication_BSc" w:id="7"/>
      <w:bookmarkStart w:name="_Toc507515644" w:id="8"/>
      <w:bookmarkEnd w:id="7"/>
      <w:r>
        <w:t>Human Communication</w:t>
      </w:r>
      <w:r w:rsidR="00CA611B">
        <w:t xml:space="preserve"> (Speech and Language Therapy)</w:t>
      </w:r>
      <w:r>
        <w:t xml:space="preserve"> BSc (Hons), B60041/B60042 (non-commissioned route)</w:t>
      </w:r>
      <w:bookmarkEnd w:id="8"/>
    </w:p>
    <w:p w:rsidRPr="003D3B9C" w:rsidR="000F6ED8" w:rsidP="000F6ED8" w:rsidRDefault="000F6ED8">
      <w:pPr>
        <w:pStyle w:val="NoSpacing"/>
      </w:pPr>
      <w:r>
        <w:t>Health and Care Professions Council</w:t>
      </w:r>
      <w:r w:rsidR="00AA75A0">
        <w:t xml:space="preserve"> (HCPC)</w:t>
      </w:r>
    </w:p>
    <w:p w:rsidRPr="00972B8D" w:rsidR="000F6ED8" w:rsidP="000F6ED8" w:rsidRDefault="000F6ED8">
      <w:pPr>
        <w:pStyle w:val="headingunderline"/>
      </w:pPr>
    </w:p>
    <w:p w:rsidR="00A21C4D" w:rsidP="00624132" w:rsidRDefault="00A21C4D">
      <w:pPr>
        <w:pStyle w:val="Heading4"/>
      </w:pPr>
      <w:r>
        <w:t xml:space="preserve">Passing a module/Compensation </w:t>
      </w:r>
    </w:p>
    <w:p w:rsidR="00A21C4D" w:rsidP="00A21C4D" w:rsidRDefault="00A21C4D">
      <w:r>
        <w:t>All modules are must-pass modules and students must achieve a pass mark of 40 per cent.</w:t>
      </w:r>
      <w:r w:rsidRPr="00A21C4D">
        <w:t xml:space="preserve"> </w:t>
      </w:r>
      <w:r w:rsidR="00CA611B">
        <w:t>No compensation is available.</w:t>
      </w:r>
    </w:p>
    <w:p w:rsidRPr="00A21C4D" w:rsidR="00A21C4D" w:rsidP="00A21C4D" w:rsidRDefault="00A21C4D"/>
    <w:p w:rsidR="00A21C4D" w:rsidP="00A21C4D" w:rsidRDefault="00A21C4D">
      <w:pPr>
        <w:pStyle w:val="Heading4"/>
      </w:pPr>
      <w:r>
        <w:t xml:space="preserve">Reassessment of failure </w:t>
      </w:r>
      <w:r>
        <w:tab/>
      </w:r>
    </w:p>
    <w:p w:rsidR="00A21C4D" w:rsidP="00A21C4D" w:rsidRDefault="00A21C4D">
      <w:r>
        <w:t>A student will have a maximum of 90 credits of reassessment opportunities at each level of study, including within the 180 level 6 credits.</w:t>
      </w:r>
    </w:p>
    <w:p w:rsidR="00A21C4D" w:rsidP="00A21C4D" w:rsidRDefault="00A21C4D"/>
    <w:p w:rsidR="00A21C4D" w:rsidP="00A21C4D" w:rsidRDefault="00A21C4D">
      <w:r>
        <w:t>Students who fail the clinical placement report or the video tutorial in SALT3333 and/or SALT3044 may have only one reassessment opportunity between the two modules. Students who fail the viva component in either SALT 3333 and/or SALT 3044 may normally have one reassessment opportunity in each module. Students exceeding this will only be eligible for an academic award without eligibility for state registration – BSc (Hons) Human Communication.</w:t>
      </w:r>
    </w:p>
    <w:p w:rsidR="00A21C4D" w:rsidP="00A21C4D" w:rsidRDefault="00A21C4D"/>
    <w:p w:rsidR="00624132" w:rsidP="00624132" w:rsidRDefault="00624132">
      <w:pPr>
        <w:pStyle w:val="Heading4"/>
      </w:pPr>
      <w:r>
        <w:t>Progression between undergraduate levels of study</w:t>
      </w:r>
    </w:p>
    <w:p w:rsidR="00624132" w:rsidP="00624132" w:rsidRDefault="00624132">
      <w:pPr>
        <w:pStyle w:val="Heading5"/>
      </w:pPr>
      <w:r>
        <w:t>Full-time students</w:t>
      </w:r>
    </w:p>
    <w:p w:rsidR="00624132" w:rsidP="00624132" w:rsidRDefault="00624132">
      <w:r>
        <w:t>Students may normally only proceed into level 5 on successful completion of all level 4 modules except that students may proceed carrying one or more failed ‘practical’ component of SALT1003 (</w:t>
      </w:r>
      <w:r w:rsidR="007B2169">
        <w:t>introduction to phonetics and phonology</w:t>
      </w:r>
      <w:r>
        <w:t>) providing this is retrieved during level 5 (</w:t>
      </w:r>
      <w:r w:rsidR="00A272B9">
        <w:t>phase tests</w:t>
      </w:r>
      <w:r>
        <w:t xml:space="preserve"> </w:t>
      </w:r>
      <w:r w:rsidR="00A272B9">
        <w:t>1, 2, 3</w:t>
      </w:r>
      <w:r>
        <w:t xml:space="preserve"> – threshold 66</w:t>
      </w:r>
      <w:r w:rsidR="00A272B9">
        <w:t xml:space="preserve"> </w:t>
      </w:r>
      <w:r w:rsidR="00B42A04">
        <w:t>per cent</w:t>
      </w:r>
      <w:r>
        <w:t>).</w:t>
      </w:r>
    </w:p>
    <w:p w:rsidR="00624132" w:rsidP="00624132" w:rsidRDefault="00624132"/>
    <w:p w:rsidR="00624132" w:rsidP="00624132" w:rsidRDefault="00624132">
      <w:r>
        <w:t>Students may normally only proceed into level 6 on successful completion of all level 5 modules except that students may proceed carrying one failed ‘practical’ component (</w:t>
      </w:r>
      <w:r w:rsidR="007B2169">
        <w:t>practical 1</w:t>
      </w:r>
      <w:r>
        <w:t xml:space="preserve"> phonetic transcription threshold 66</w:t>
      </w:r>
      <w:r w:rsidR="00B42A04">
        <w:t xml:space="preserve"> per cent</w:t>
      </w:r>
      <w:r>
        <w:t>) of SALT2004 (</w:t>
      </w:r>
      <w:r w:rsidR="007B2169">
        <w:t>clinical linguistic assessments</w:t>
      </w:r>
      <w:r>
        <w:t>) providing this is retrieved during the next academic session.</w:t>
      </w:r>
    </w:p>
    <w:p w:rsidR="00624132" w:rsidP="00624132" w:rsidRDefault="00624132"/>
    <w:p w:rsidR="00624132" w:rsidP="00624132" w:rsidRDefault="00624132">
      <w:r>
        <w:t>Students may normally only proceed into the final 60 credits at level 6 on successful completion of the first 120 credits of level 6 modules.</w:t>
      </w:r>
    </w:p>
    <w:p w:rsidR="00624132" w:rsidP="00624132" w:rsidRDefault="00624132"/>
    <w:p w:rsidR="00624132" w:rsidP="00CA611B" w:rsidRDefault="00624132">
      <w:pPr>
        <w:pStyle w:val="Heading4"/>
      </w:pPr>
      <w:r>
        <w:t>Progression of part-time undergraduate students</w:t>
      </w:r>
    </w:p>
    <w:p w:rsidR="00624132" w:rsidP="00624132" w:rsidRDefault="00624132">
      <w:r>
        <w:t>Students studying part-time must normally successfully complete all modules in each year of study before proceeding to the next except that students may proceed carrying one or more failed ‘practical’ component (</w:t>
      </w:r>
      <w:r w:rsidR="007B2169">
        <w:t>phase tests</w:t>
      </w:r>
      <w:r>
        <w:t xml:space="preserve"> 1,</w:t>
      </w:r>
      <w:r w:rsidR="007B2169">
        <w:t xml:space="preserve"> </w:t>
      </w:r>
      <w:r>
        <w:t>2,</w:t>
      </w:r>
      <w:r w:rsidR="007B2169">
        <w:t xml:space="preserve"> </w:t>
      </w:r>
      <w:r>
        <w:t>3 – threshold 66</w:t>
      </w:r>
      <w:r w:rsidR="00B42A04">
        <w:t xml:space="preserve"> per cent</w:t>
      </w:r>
      <w:r>
        <w:t>) of SALT1003 (</w:t>
      </w:r>
      <w:r w:rsidR="007B2169">
        <w:t>phonetics and phonology</w:t>
      </w:r>
      <w:r>
        <w:t>) and the practical component of SALT2004 (</w:t>
      </w:r>
      <w:r w:rsidR="0028713C">
        <w:t>clinical linguistic assessments</w:t>
      </w:r>
      <w:r>
        <w:t>), providing that it is retrieved in the next year of study.</w:t>
      </w:r>
    </w:p>
    <w:p w:rsidR="00E44BDA" w:rsidP="00E44BDA" w:rsidRDefault="00E44BDA"/>
    <w:p w:rsidR="00624132" w:rsidP="005907E1" w:rsidRDefault="00624132">
      <w:pPr>
        <w:pStyle w:val="Heading4"/>
      </w:pPr>
      <w:r>
        <w:t>Fitness to practice</w:t>
      </w:r>
    </w:p>
    <w:p w:rsidR="00624132" w:rsidP="00624132" w:rsidRDefault="00624132">
      <w:r>
        <w:t xml:space="preserve">Students must attend for </w:t>
      </w:r>
      <w:r w:rsidR="0028713C">
        <w:t xml:space="preserve">occupational health assessment </w:t>
      </w:r>
      <w:r>
        <w:t>if asked to do so by the programme leader or deputy.</w:t>
      </w:r>
      <w:r w:rsidR="00B42A04">
        <w:t xml:space="preserve"> </w:t>
      </w:r>
      <w:r>
        <w:t>Students who experience such health issues as to render them unable to practice safely and effectively may, at the discretion of the programme board, be unable to pursue the professional programme.</w:t>
      </w:r>
    </w:p>
    <w:p w:rsidR="00AA75A0" w:rsidP="000F6ED8" w:rsidRDefault="00AA75A0"/>
    <w:p w:rsidR="00CA611B" w:rsidP="00CA611B" w:rsidRDefault="00CA611B">
      <w:pPr>
        <w:pStyle w:val="Heading4"/>
      </w:pPr>
      <w:r>
        <w:t>Repeating an undergraduate level of study</w:t>
      </w:r>
      <w:r>
        <w:tab/>
      </w:r>
    </w:p>
    <w:p w:rsidR="00CA611B" w:rsidP="00CA611B" w:rsidRDefault="00CA611B">
      <w:r>
        <w:t>Students are not permitted to repeat an undergraduate level of study.</w:t>
      </w:r>
    </w:p>
    <w:p w:rsidR="00CA611B" w:rsidP="00CA611B" w:rsidRDefault="00CA611B"/>
    <w:p w:rsidR="00A21C4D" w:rsidP="00A21C4D" w:rsidRDefault="00A21C4D">
      <w:pPr>
        <w:pStyle w:val="Heading4"/>
      </w:pPr>
      <w:r>
        <w:t>Awards of the university</w:t>
      </w:r>
      <w:r>
        <w:tab/>
      </w:r>
    </w:p>
    <w:p w:rsidR="00A21C4D" w:rsidP="00A21C4D" w:rsidRDefault="00A21C4D">
      <w:r>
        <w:t>Students must achieve 420 credits to gain the award.</w:t>
      </w:r>
    </w:p>
    <w:p w:rsidR="00A21C4D" w:rsidP="00A21C4D" w:rsidRDefault="00A21C4D"/>
    <w:p w:rsidR="00A21C4D" w:rsidP="00A21C4D" w:rsidRDefault="00A21C4D">
      <w:r>
        <w:t xml:space="preserve">Students who fail the project module receive the award BSc/BSc (Hons) Human Communication under generic university regulations. This award does not entitle graduates to apply to the HCPC for state registration. </w:t>
      </w:r>
    </w:p>
    <w:p w:rsidR="00A21C4D" w:rsidP="00A21C4D" w:rsidRDefault="00A21C4D"/>
    <w:p w:rsidR="00A21C4D" w:rsidP="00A21C4D" w:rsidRDefault="00A21C4D">
      <w:r>
        <w:t>Classification is based upon the best 105 credits from the 120 at level 5 and the best 150 credits from the 165 credits at level 6 (6+). 15 credits at level 6 are pass/fail and are excluded from the calculation.</w:t>
      </w:r>
    </w:p>
    <w:p w:rsidR="00A21C4D" w:rsidP="00A21C4D" w:rsidRDefault="00A21C4D"/>
    <w:p w:rsidR="00A21C4D" w:rsidP="00A21C4D" w:rsidRDefault="00A21C4D">
      <w:r>
        <w:t>For the academic, non-accredited exit award, the BSc (Hons) Human Communication, the best 120 level 6 credits should be utilised within the classification algorithm but no consideration band will be applied as the lowest module results have already been discounted.</w:t>
      </w:r>
    </w:p>
    <w:p w:rsidR="00A21C4D" w:rsidP="000F6ED8" w:rsidRDefault="00A21C4D"/>
    <w:p w:rsidR="001D0957" w:rsidP="000F6ED8" w:rsidRDefault="001D0957"/>
    <w:p w:rsidR="00D025B5" w:rsidP="00D025B5" w:rsidRDefault="00D025B5">
      <w:pPr>
        <w:pStyle w:val="Heading3"/>
      </w:pPr>
      <w:bookmarkStart w:name="_Low_Intensity_Psychological" w:id="9"/>
      <w:bookmarkStart w:name="_Toc507515645" w:id="10"/>
      <w:bookmarkEnd w:id="9"/>
      <w:r>
        <w:t>Low Intensity Psychological Interventions</w:t>
      </w:r>
      <w:r w:rsidRPr="009C61A9">
        <w:t xml:space="preserve"> </w:t>
      </w:r>
      <w:proofErr w:type="spellStart"/>
      <w:r>
        <w:t>GradCert</w:t>
      </w:r>
      <w:proofErr w:type="spellEnd"/>
      <w:r>
        <w:t>, C84041</w:t>
      </w:r>
      <w:bookmarkEnd w:id="10"/>
    </w:p>
    <w:p w:rsidR="00D025B5" w:rsidP="00D025B5" w:rsidRDefault="00D025B5">
      <w:pPr>
        <w:pStyle w:val="headingunderline"/>
      </w:pPr>
    </w:p>
    <w:p w:rsidR="00FD5E4C" w:rsidP="00FD5E4C" w:rsidRDefault="00FD5E4C">
      <w:pPr>
        <w:pStyle w:val="Heading4"/>
      </w:pPr>
      <w:r>
        <w:t>Introduction to modules</w:t>
      </w:r>
      <w:r>
        <w:tab/>
      </w:r>
    </w:p>
    <w:p w:rsidR="00FD5E4C" w:rsidP="00FD5E4C" w:rsidRDefault="00FD5E4C">
      <w:r>
        <w:t>The programme consists of 20 credit modules.</w:t>
      </w:r>
    </w:p>
    <w:p w:rsidR="00FD5E4C" w:rsidP="00FD5E4C" w:rsidRDefault="00FD5E4C"/>
    <w:p w:rsidRPr="005907E1" w:rsidR="00E1670A" w:rsidP="00E1670A" w:rsidRDefault="00E1670A">
      <w:pPr>
        <w:pStyle w:val="Heading4"/>
      </w:pPr>
      <w:r w:rsidRPr="005907E1">
        <w:t>Passing a module</w:t>
      </w:r>
      <w:r w:rsidR="00BA1200">
        <w:t>/compensation</w:t>
      </w:r>
    </w:p>
    <w:p w:rsidR="00BA1200" w:rsidP="00BA1200" w:rsidRDefault="00E1670A">
      <w:r w:rsidRPr="005907E1">
        <w:t>All module components must be passed at 40 per cent</w:t>
      </w:r>
      <w:r w:rsidR="000F6C03">
        <w:t xml:space="preserve"> (C84041) </w:t>
      </w:r>
      <w:r w:rsidRPr="005907E1">
        <w:t>All zero-credit (pass/fail) components must be passed.</w:t>
      </w:r>
      <w:r w:rsidR="00BA1200">
        <w:t xml:space="preserve"> No compensation is available. </w:t>
      </w:r>
    </w:p>
    <w:p w:rsidR="00E1670A" w:rsidP="00E1670A" w:rsidRDefault="00E1670A"/>
    <w:p w:rsidR="00D025B5" w:rsidP="00D025B5" w:rsidRDefault="00D025B5">
      <w:pPr>
        <w:pStyle w:val="Heading4"/>
      </w:pPr>
      <w:r>
        <w:t>Reassessment of failure</w:t>
      </w:r>
      <w:r>
        <w:tab/>
      </w:r>
    </w:p>
    <w:p w:rsidR="00D025B5" w:rsidP="00D025B5" w:rsidRDefault="00D025B5">
      <w:r>
        <w:t xml:space="preserve">Students are </w:t>
      </w:r>
      <w:r w:rsidR="005D7E57">
        <w:t xml:space="preserve">only </w:t>
      </w:r>
      <w:r>
        <w:t>allowed one reassessment attempt per module.</w:t>
      </w:r>
    </w:p>
    <w:p w:rsidR="00D025B5" w:rsidP="00D025B5" w:rsidRDefault="00D025B5"/>
    <w:p w:rsidR="00D025B5" w:rsidP="00D025B5" w:rsidRDefault="00D025B5">
      <w:r>
        <w:t>Failure of a module due to gross professional misconduct will result in immediate dismissal from the programme.</w:t>
      </w:r>
    </w:p>
    <w:p w:rsidR="00D025B5" w:rsidP="00D025B5" w:rsidRDefault="00D025B5"/>
    <w:p w:rsidR="00D025B5" w:rsidP="00D025B5" w:rsidRDefault="00D025B5">
      <w:r>
        <w:t>Students must maintain contractual services with the designated service provider for the duration of the programme. If they fail to do so they will be suspended pending investigation and may be terminated from the programme.</w:t>
      </w:r>
    </w:p>
    <w:p w:rsidR="00BA1200" w:rsidP="00D025B5" w:rsidRDefault="00BA1200"/>
    <w:p w:rsidR="00E1670A" w:rsidP="00E1670A" w:rsidRDefault="00E1670A">
      <w:pPr>
        <w:pStyle w:val="Heading4"/>
      </w:pPr>
      <w:r>
        <w:t>Attendance</w:t>
      </w:r>
      <w:r>
        <w:tab/>
      </w:r>
    </w:p>
    <w:p w:rsidR="00E1670A" w:rsidP="00E1670A" w:rsidRDefault="00E1670A">
      <w:r>
        <w:t>Each module has a 100 per cent attendance requirement for taught content. The clinical practice element has an 80 per cent attendance requirement. If a student falls below these requirements they must demonstrate that they have completed any missed work.</w:t>
      </w:r>
    </w:p>
    <w:p w:rsidR="005D7E57" w:rsidP="005D7E57" w:rsidRDefault="005D7E57">
      <w:pPr>
        <w:pStyle w:val="Heading4"/>
      </w:pPr>
      <w:r>
        <w:tab/>
      </w:r>
    </w:p>
    <w:p w:rsidR="005D7E57" w:rsidP="005D7E57" w:rsidRDefault="005D7E57"/>
    <w:p w:rsidR="00C347A1" w:rsidP="00D025B5" w:rsidRDefault="00C347A1"/>
    <w:p w:rsidR="00006C10" w:rsidP="00006C10" w:rsidRDefault="00006C10">
      <w:pPr>
        <w:pStyle w:val="Heading3"/>
      </w:pPr>
      <w:bookmarkStart w:name="_Toc507515646" w:id="11"/>
      <w:r>
        <w:t>Midwifery (pre-registration) BSc (Hons), B72048 (commissioned)</w:t>
      </w:r>
      <w:r w:rsidR="003D597A">
        <w:t>/</w:t>
      </w:r>
      <w:r w:rsidR="003D597A">
        <w:br/>
      </w:r>
      <w:r>
        <w:t>B72051 (non-commissioned)</w:t>
      </w:r>
      <w:bookmarkEnd w:id="11"/>
    </w:p>
    <w:p w:rsidRPr="003D3B9C" w:rsidR="00006C10" w:rsidP="00006C10" w:rsidRDefault="00006C10">
      <w:pPr>
        <w:pStyle w:val="NoSpacing"/>
      </w:pPr>
      <w:r>
        <w:t>Nursing and Midwifery Council</w:t>
      </w:r>
      <w:r w:rsidR="00E6611C">
        <w:t xml:space="preserve"> (NMC)</w:t>
      </w:r>
    </w:p>
    <w:p w:rsidR="00006C10" w:rsidP="00006C10" w:rsidRDefault="00006C10">
      <w:pPr>
        <w:pStyle w:val="headingunderline"/>
      </w:pPr>
    </w:p>
    <w:p w:rsidR="00006C10" w:rsidP="00006C10" w:rsidRDefault="00006C10">
      <w:pPr>
        <w:pStyle w:val="Heading4"/>
      </w:pPr>
      <w:r>
        <w:t>Passing a module</w:t>
      </w:r>
      <w:r w:rsidR="00FD5E4C">
        <w:t>/Compensation</w:t>
      </w:r>
    </w:p>
    <w:p w:rsidRPr="00E04DB2" w:rsidR="00006C10" w:rsidP="00006C10" w:rsidRDefault="00006C10">
      <w:r w:rsidRPr="00E04DB2">
        <w:t xml:space="preserve">All module components must </w:t>
      </w:r>
      <w:r w:rsidRPr="00E04DB2" w:rsidR="005907E1">
        <w:t xml:space="preserve">be passed at 40 per cent. </w:t>
      </w:r>
      <w:r w:rsidRPr="00E04DB2" w:rsidR="0095578F">
        <w:t xml:space="preserve"> In some </w:t>
      </w:r>
      <w:proofErr w:type="gramStart"/>
      <w:r w:rsidRPr="00E04DB2" w:rsidR="0095578F">
        <w:t>instances</w:t>
      </w:r>
      <w:proofErr w:type="gramEnd"/>
      <w:r w:rsidRPr="00E04DB2" w:rsidR="0095578F">
        <w:t xml:space="preserve"> this is 80 per cent (</w:t>
      </w:r>
      <w:proofErr w:type="spellStart"/>
      <w:r w:rsidRPr="00E04DB2" w:rsidR="0095578F">
        <w:t>eg</w:t>
      </w:r>
      <w:proofErr w:type="spellEnd"/>
      <w:r w:rsidRPr="00E04DB2" w:rsidR="0095578F">
        <w:t xml:space="preserve"> OSC</w:t>
      </w:r>
      <w:r w:rsidR="00260AFB">
        <w:t>E</w:t>
      </w:r>
      <w:r w:rsidRPr="00E04DB2" w:rsidR="0095578F">
        <w:t xml:space="preserve"> assessments). </w:t>
      </w:r>
      <w:r w:rsidRPr="00E04DB2" w:rsidR="00FD5E4C">
        <w:t>No compensation is available.</w:t>
      </w:r>
    </w:p>
    <w:p w:rsidR="00006C10" w:rsidP="00006C10" w:rsidRDefault="00006C10"/>
    <w:p w:rsidR="00006C10" w:rsidP="00006C10" w:rsidRDefault="00006C10">
      <w:pPr>
        <w:pStyle w:val="Heading4"/>
      </w:pPr>
      <w:r>
        <w:t xml:space="preserve">Reassessment of failure </w:t>
      </w:r>
      <w:r>
        <w:tab/>
      </w:r>
    </w:p>
    <w:p w:rsidR="00006C10" w:rsidP="00006C10" w:rsidRDefault="00006C10">
      <w:r>
        <w:t>A student will have a maximum of 90 credits of reassessment opportunities at each level of study.</w:t>
      </w:r>
    </w:p>
    <w:p w:rsidR="00006C10" w:rsidP="00006C10" w:rsidRDefault="00006C10"/>
    <w:p w:rsidR="00FD5E4C" w:rsidP="00FD5E4C" w:rsidRDefault="00FD5E4C">
      <w:pPr>
        <w:pStyle w:val="Heading4"/>
      </w:pPr>
      <w:r>
        <w:t>Progression between undergraduate levels of study</w:t>
      </w:r>
      <w:r>
        <w:tab/>
      </w:r>
    </w:p>
    <w:p w:rsidR="00FD5E4C" w:rsidP="00FD5E4C" w:rsidRDefault="00FD5E4C">
      <w:pPr>
        <w:rPr>
          <w:color w:val="FF0000"/>
        </w:rPr>
      </w:pPr>
      <w:r>
        <w:t xml:space="preserve">The first progression point as outlined by the NMC is to be achieved by the end of level 4 study. </w:t>
      </w:r>
      <w:r w:rsidR="00260AFB">
        <w:t xml:space="preserve"> </w:t>
      </w:r>
      <w:proofErr w:type="gramStart"/>
      <w:r>
        <w:t>Therefore</w:t>
      </w:r>
      <w:proofErr w:type="gramEnd"/>
      <w:r>
        <w:t xml:space="preserve"> a student must complete all modules successfully at level 4, including re</w:t>
      </w:r>
      <w:r w:rsidRPr="00E04DB2">
        <w:t xml:space="preserve">trieval of any failure, within 12 weeks of </w:t>
      </w:r>
      <w:r w:rsidRPr="00E04DB2" w:rsidR="0095578F">
        <w:t>the Assessment board where progression is confirmed.</w:t>
      </w:r>
      <w:r w:rsidR="00F96FE7">
        <w:t xml:space="preserve"> </w:t>
      </w:r>
      <w:r w:rsidR="00F96FE7">
        <w:rPr>
          <w:color w:val="FF0000"/>
        </w:rPr>
        <w:t>Note</w:t>
      </w:r>
      <w:r w:rsidR="00BA7E3D">
        <w:rPr>
          <w:color w:val="FF0000"/>
        </w:rPr>
        <w:t xml:space="preserve">: </w:t>
      </w:r>
      <w:r w:rsidR="00F96FE7">
        <w:rPr>
          <w:color w:val="FF0000"/>
        </w:rPr>
        <w:t xml:space="preserve">this requirement has </w:t>
      </w:r>
      <w:r w:rsidR="00BA7E3D">
        <w:rPr>
          <w:color w:val="FF0000"/>
        </w:rPr>
        <w:t xml:space="preserve">temporarily </w:t>
      </w:r>
      <w:r w:rsidR="00F96FE7">
        <w:rPr>
          <w:color w:val="FF0000"/>
        </w:rPr>
        <w:t xml:space="preserve">been removed </w:t>
      </w:r>
    </w:p>
    <w:p w:rsidR="00BA7E3D" w:rsidP="00FD5E4C" w:rsidRDefault="00BA7E3D"/>
    <w:p w:rsidRPr="00F96FE7" w:rsidR="00F96FE7" w:rsidP="00F96FE7" w:rsidRDefault="00FD5E4C">
      <w:pPr>
        <w:rPr>
          <w:color w:val="FF0000"/>
        </w:rPr>
      </w:pPr>
      <w:r>
        <w:t xml:space="preserve">The second progression point as outlined by the NMC is to be achieved by the end of level 5 study. </w:t>
      </w:r>
      <w:proofErr w:type="gramStart"/>
      <w:r>
        <w:t>Therefore</w:t>
      </w:r>
      <w:proofErr w:type="gramEnd"/>
      <w:r>
        <w:t xml:space="preserve"> a student must complete all modules successfully at level 5, including </w:t>
      </w:r>
      <w:r w:rsidRPr="00E04DB2">
        <w:t xml:space="preserve">retrieval of any failure, within 12 weeks </w:t>
      </w:r>
      <w:r w:rsidRPr="00E04DB2" w:rsidR="0095578F">
        <w:t>of the Assessment board where progression is confirmed</w:t>
      </w:r>
      <w:r w:rsidRPr="00E04DB2">
        <w:t>.</w:t>
      </w:r>
      <w:r w:rsidR="00F96FE7">
        <w:t xml:space="preserve"> </w:t>
      </w:r>
      <w:r w:rsidR="00BA7E3D">
        <w:rPr>
          <w:color w:val="FF0000"/>
        </w:rPr>
        <w:t>Note: this requirement has temporarily been removed</w:t>
      </w:r>
    </w:p>
    <w:p w:rsidR="00FD5E4C" w:rsidP="00FD5E4C" w:rsidRDefault="00FD5E4C"/>
    <w:p w:rsidR="00FD5E4C" w:rsidP="00FD5E4C" w:rsidRDefault="00FD5E4C"/>
    <w:p w:rsidRPr="00D83599" w:rsidR="00CD6C5D" w:rsidP="00CD6C5D" w:rsidRDefault="00CD6C5D">
      <w:pPr>
        <w:pStyle w:val="Heading4"/>
      </w:pPr>
      <w:r w:rsidRPr="00D83599">
        <w:t>Repeating an undergraduate level of study</w:t>
      </w:r>
    </w:p>
    <w:p w:rsidRPr="0020405E" w:rsidR="0020405E" w:rsidP="0020405E" w:rsidRDefault="0020405E">
      <w:r w:rsidRPr="0020405E">
        <w:t>The Regulation to Repeat Level 4 study is not applicable to this programme.</w:t>
      </w:r>
    </w:p>
    <w:p w:rsidRPr="00D83599" w:rsidR="00CD6C5D" w:rsidP="00CD6C5D" w:rsidRDefault="00CD6C5D">
      <w:r w:rsidRPr="00D83599">
        <w:t xml:space="preserve"> </w:t>
      </w:r>
    </w:p>
    <w:p w:rsidR="00006C10" w:rsidP="00006C10" w:rsidRDefault="00006C10"/>
    <w:p w:rsidR="00006C10" w:rsidP="00006C10" w:rsidRDefault="00006C10">
      <w:pPr>
        <w:pStyle w:val="Heading4"/>
      </w:pPr>
      <w:r>
        <w:t xml:space="preserve">Awards of the university </w:t>
      </w:r>
      <w:r>
        <w:tab/>
      </w:r>
    </w:p>
    <w:p w:rsidR="00006C10" w:rsidP="00006C10" w:rsidRDefault="00006C10">
      <w:r>
        <w:t>Students must complete 120 credits at level 6 to achieve a BSc (Hons) Midwifery with NMC registration as a midwife.</w:t>
      </w:r>
    </w:p>
    <w:p w:rsidR="00006C10" w:rsidP="00006C10" w:rsidRDefault="00006C10"/>
    <w:p w:rsidR="00006C10" w:rsidP="00006C10" w:rsidRDefault="00006C10">
      <w:r>
        <w:t xml:space="preserve">Exceptionally a student who has gained sufficient credit for the award may fail to achieve the award because of failing NMC professional </w:t>
      </w:r>
      <w:r w:rsidR="00260AFB">
        <w:t>conduct</w:t>
      </w:r>
      <w:r>
        <w:t xml:space="preserve"> in practice or though the </w:t>
      </w:r>
      <w:r w:rsidR="00FD5E4C">
        <w:t>fitness to practice</w:t>
      </w:r>
      <w:r>
        <w:t xml:space="preserve"> procedure.</w:t>
      </w:r>
    </w:p>
    <w:p w:rsidR="00006C10" w:rsidP="00006C10" w:rsidRDefault="00006C10"/>
    <w:p w:rsidR="00006C10" w:rsidP="00006C10" w:rsidRDefault="00006C10">
      <w:r>
        <w:t xml:space="preserve">Failure due to gross </w:t>
      </w:r>
      <w:r w:rsidR="00FD5E4C">
        <w:t>professional misconduct</w:t>
      </w:r>
      <w:r>
        <w:t xml:space="preserve"> will result in immediate dismissal from the programme.</w:t>
      </w:r>
    </w:p>
    <w:p w:rsidR="00006C10" w:rsidP="00006C10" w:rsidRDefault="00006C10"/>
    <w:p w:rsidR="00006C10" w:rsidP="00006C10" w:rsidRDefault="00006C10">
      <w:r>
        <w:t xml:space="preserve">A second failure of </w:t>
      </w:r>
      <w:r w:rsidR="00FD5E4C">
        <w:t>professional conduct</w:t>
      </w:r>
      <w:r>
        <w:t xml:space="preserve"> will result in dismissal from the programme.</w:t>
      </w:r>
    </w:p>
    <w:p w:rsidR="00FE026D" w:rsidP="00FE026D" w:rsidRDefault="00FE026D"/>
    <w:p w:rsidR="00FD5E4C" w:rsidP="00FE026D" w:rsidRDefault="00FD5E4C"/>
    <w:p w:rsidR="00FD5E4C" w:rsidP="00FE026D" w:rsidRDefault="00FD5E4C"/>
    <w:p w:rsidRPr="0069742F" w:rsidR="00B77A96" w:rsidP="00B77A96" w:rsidRDefault="00B77A96">
      <w:pPr>
        <w:rPr>
          <w:b/>
          <w:color w:val="548AB7" w:themeColor="accent1" w:themeShade="BF"/>
        </w:rPr>
      </w:pPr>
      <w:r w:rsidRPr="0069742F">
        <w:rPr>
          <w:b/>
          <w:color w:val="548AB7" w:themeColor="accent1" w:themeShade="BF"/>
        </w:rPr>
        <w:t xml:space="preserve">Independent/Supplementary Prescribing (V300) Programme Level 6 Undergraduate </w:t>
      </w:r>
    </w:p>
    <w:p w:rsidRPr="0069742F" w:rsidR="00B77A96" w:rsidP="00B77A96" w:rsidRDefault="00B77A96">
      <w:pPr>
        <w:rPr>
          <w:color w:val="548AB7" w:themeColor="accent1" w:themeShade="BF"/>
        </w:rPr>
      </w:pPr>
      <w:r w:rsidRPr="0069742F">
        <w:rPr>
          <w:color w:val="548AB7" w:themeColor="accent1" w:themeShade="BF"/>
        </w:rPr>
        <w:t>Programme Code B23050</w:t>
      </w:r>
    </w:p>
    <w:p w:rsidR="00B77A96" w:rsidP="00B77A96" w:rsidRDefault="00B77A96"/>
    <w:p w:rsidR="00B77A96" w:rsidP="0069742F" w:rsidRDefault="00B77A96">
      <w:r>
        <w:t>Students Must:</w:t>
      </w:r>
    </w:p>
    <w:p w:rsidR="00B77A96" w:rsidP="0069742F" w:rsidRDefault="00B77A96">
      <w:r>
        <w:t xml:space="preserve">Have successfully passed PRES 3005 Applied Prescribing Module (30credits) </w:t>
      </w:r>
    </w:p>
    <w:p w:rsidR="00B77A96" w:rsidP="0069742F" w:rsidRDefault="00B77A96">
      <w:r>
        <w:t>Practice Portfolio (pass/fail)</w:t>
      </w:r>
    </w:p>
    <w:p w:rsidR="00B77A96" w:rsidP="0069742F" w:rsidRDefault="00B77A96">
      <w:proofErr w:type="gramStart"/>
      <w:r w:rsidRPr="008760F6">
        <w:t>3000 word</w:t>
      </w:r>
      <w:proofErr w:type="gramEnd"/>
      <w:r>
        <w:t xml:space="preserve"> reflection (passed at 40%)</w:t>
      </w:r>
    </w:p>
    <w:p w:rsidR="00B77A96" w:rsidP="0069742F" w:rsidRDefault="00B77A96">
      <w:r>
        <w:t xml:space="preserve">Have successfully passed PRES 3006 Pharmacology for </w:t>
      </w:r>
      <w:proofErr w:type="gramStart"/>
      <w:r>
        <w:t>prescribers</w:t>
      </w:r>
      <w:proofErr w:type="gramEnd"/>
      <w:r>
        <w:t xml:space="preserve"> module (15 credits)</w:t>
      </w:r>
    </w:p>
    <w:p w:rsidR="00B77A96" w:rsidP="0069742F" w:rsidRDefault="00B77A96">
      <w:r>
        <w:t>Passed Numeracy exam with 100%</w:t>
      </w:r>
      <w:r w:rsidRPr="0047665F">
        <w:t xml:space="preserve"> </w:t>
      </w:r>
    </w:p>
    <w:p w:rsidR="00B77A96" w:rsidP="0069742F" w:rsidRDefault="00B77A96">
      <w:r>
        <w:t>Passed pharmacology exam with 80%</w:t>
      </w:r>
    </w:p>
    <w:p w:rsidR="00B77A96" w:rsidP="0069742F" w:rsidRDefault="00B77A96">
      <w:r>
        <w:t xml:space="preserve">Passed </w:t>
      </w:r>
      <w:r w:rsidRPr="008760F6">
        <w:t>2000 word</w:t>
      </w:r>
      <w:r>
        <w:t xml:space="preserve"> written assignment with 40%</w:t>
      </w:r>
    </w:p>
    <w:p w:rsidR="00B77A96" w:rsidP="0069742F" w:rsidRDefault="00B77A96"/>
    <w:p w:rsidR="00B77A96" w:rsidP="0069742F" w:rsidRDefault="00B77A96">
      <w:r>
        <w:t>In order to gain the qualification of Independent and Supplementary prescriber (V300)</w:t>
      </w:r>
    </w:p>
    <w:p w:rsidR="00B77A96" w:rsidP="0069742F" w:rsidRDefault="00B77A96">
      <w:r>
        <w:t>Students Must:</w:t>
      </w:r>
    </w:p>
    <w:p w:rsidR="00B77A96" w:rsidP="0069742F" w:rsidRDefault="00B77A96">
      <w:r>
        <w:t>Be registered with the NMC as a nurse (level 1) or a midwife or be registered with the HCPC as a physiotherapist, podiatrist, paramedic or therapeutic radiographer.</w:t>
      </w:r>
    </w:p>
    <w:p w:rsidR="00B77A96" w:rsidP="0069742F" w:rsidRDefault="00B77A96"/>
    <w:p w:rsidR="00B77A96" w:rsidP="0069742F" w:rsidRDefault="00B77A96">
      <w:r>
        <w:t>In order to gain the qualification of a Supplementary prescriber (V300)</w:t>
      </w:r>
    </w:p>
    <w:p w:rsidR="00B77A96" w:rsidP="0069742F" w:rsidRDefault="00B77A96">
      <w:r>
        <w:t>Students Must:</w:t>
      </w:r>
    </w:p>
    <w:p w:rsidR="00B77A96" w:rsidP="0069742F" w:rsidRDefault="00B77A96">
      <w:r>
        <w:t>Be registered with the HCPC as a diagnostic radiographer or dietician.</w:t>
      </w:r>
    </w:p>
    <w:p w:rsidR="00B77A96" w:rsidP="0069742F" w:rsidRDefault="00B77A96"/>
    <w:p w:rsidR="00B77A96" w:rsidP="0069742F" w:rsidRDefault="00B77A96">
      <w:r>
        <w:t>Students are allowed 2 attempts at the numeracy examination within the module. If neither of these attempts are passed the marks will be presented to the exam board as a fail. The student will then have one opportunity to pass this element of the module.</w:t>
      </w:r>
    </w:p>
    <w:p w:rsidR="00B77A96" w:rsidP="0069742F" w:rsidRDefault="00B77A96"/>
    <w:p w:rsidR="00B77A96" w:rsidP="0069742F" w:rsidRDefault="00B77A96">
      <w:r>
        <w:t>Students who fail one or more element of each module will be given one re-submission opportunity to achieve a pass grade for the module.</w:t>
      </w:r>
    </w:p>
    <w:p w:rsidR="00B77A96" w:rsidP="00B77A96" w:rsidRDefault="00B77A96"/>
    <w:p w:rsidR="00B77A96" w:rsidP="0069742F" w:rsidRDefault="00B77A96"/>
    <w:p w:rsidRPr="00C01C6E" w:rsidR="00827419" w:rsidP="00827419" w:rsidRDefault="00827419">
      <w:pPr>
        <w:pStyle w:val="Heading3"/>
        <w:rPr>
          <w:sz w:val="22"/>
          <w:szCs w:val="22"/>
        </w:rPr>
      </w:pPr>
      <w:bookmarkStart w:name="_Non-medical_Prescribing_BSc/GradCer" w:id="12"/>
      <w:bookmarkStart w:name="_Toc507515665" w:id="13"/>
      <w:bookmarkEnd w:id="12"/>
      <w:r w:rsidRPr="00C01C6E">
        <w:rPr>
          <w:sz w:val="22"/>
          <w:szCs w:val="22"/>
        </w:rPr>
        <w:t>Non-medical Prescribing BSc/</w:t>
      </w:r>
      <w:proofErr w:type="spellStart"/>
      <w:r w:rsidRPr="00C01C6E">
        <w:rPr>
          <w:sz w:val="22"/>
          <w:szCs w:val="22"/>
        </w:rPr>
        <w:t>GradCert</w:t>
      </w:r>
      <w:proofErr w:type="spellEnd"/>
      <w:r w:rsidRPr="00C01C6E">
        <w:rPr>
          <w:sz w:val="22"/>
          <w:szCs w:val="22"/>
        </w:rPr>
        <w:t>, B70042</w:t>
      </w:r>
      <w:bookmarkEnd w:id="13"/>
      <w:r w:rsidRPr="00C01C6E">
        <w:rPr>
          <w:sz w:val="22"/>
          <w:szCs w:val="22"/>
        </w:rPr>
        <w:t xml:space="preserve"> </w:t>
      </w:r>
      <w:r w:rsidRPr="00C01C6E" w:rsidR="00B77A96">
        <w:rPr>
          <w:sz w:val="22"/>
          <w:szCs w:val="22"/>
        </w:rPr>
        <w:t xml:space="preserve"> </w:t>
      </w:r>
    </w:p>
    <w:p w:rsidRPr="00C01C6E" w:rsidR="00827419" w:rsidP="00827419" w:rsidRDefault="00827419">
      <w:pPr>
        <w:pStyle w:val="additionalprogrammeheading"/>
        <w:rPr>
          <w:sz w:val="22"/>
          <w:szCs w:val="22"/>
        </w:rPr>
      </w:pPr>
      <w:r w:rsidRPr="00C01C6E">
        <w:rPr>
          <w:sz w:val="22"/>
          <w:szCs w:val="22"/>
        </w:rPr>
        <w:t>with NMC V300/PN025A with HCP</w:t>
      </w:r>
      <w:r w:rsidRPr="00C01C6E" w:rsidR="00AA5F2B">
        <w:rPr>
          <w:sz w:val="22"/>
          <w:szCs w:val="22"/>
        </w:rPr>
        <w:t>C</w:t>
      </w:r>
      <w:r w:rsidRPr="00C01C6E">
        <w:rPr>
          <w:sz w:val="22"/>
          <w:szCs w:val="22"/>
        </w:rPr>
        <w:t xml:space="preserve"> IP/SP</w:t>
      </w:r>
    </w:p>
    <w:p w:rsidRPr="00C01C6E" w:rsidR="00827419" w:rsidP="00827419" w:rsidRDefault="00827419">
      <w:pPr>
        <w:pStyle w:val="additionalprogrammeheading"/>
        <w:rPr>
          <w:sz w:val="22"/>
          <w:szCs w:val="22"/>
        </w:rPr>
      </w:pPr>
      <w:bookmarkStart w:name="_Toc507515666" w:id="14"/>
      <w:r w:rsidRPr="00C01C6E">
        <w:rPr>
          <w:sz w:val="22"/>
          <w:szCs w:val="22"/>
        </w:rPr>
        <w:t>Non-medical Prescribing PGCert, B23079</w:t>
      </w:r>
      <w:bookmarkEnd w:id="14"/>
      <w:r w:rsidRPr="00C01C6E">
        <w:rPr>
          <w:sz w:val="22"/>
          <w:szCs w:val="22"/>
        </w:rPr>
        <w:t xml:space="preserve"> </w:t>
      </w:r>
    </w:p>
    <w:p w:rsidRPr="00C01C6E" w:rsidR="00827419" w:rsidP="00827419" w:rsidRDefault="00827419">
      <w:pPr>
        <w:pStyle w:val="additionalprogrammeheading"/>
        <w:rPr>
          <w:sz w:val="22"/>
          <w:szCs w:val="22"/>
        </w:rPr>
      </w:pPr>
      <w:r w:rsidRPr="00C01C6E">
        <w:rPr>
          <w:sz w:val="22"/>
          <w:szCs w:val="22"/>
        </w:rPr>
        <w:t>with NMC V300/PN185U with HCP</w:t>
      </w:r>
      <w:r w:rsidRPr="00C01C6E" w:rsidR="00AA5F2B">
        <w:rPr>
          <w:sz w:val="22"/>
          <w:szCs w:val="22"/>
        </w:rPr>
        <w:t>C</w:t>
      </w:r>
      <w:r w:rsidRPr="00C01C6E">
        <w:rPr>
          <w:sz w:val="22"/>
          <w:szCs w:val="22"/>
        </w:rPr>
        <w:t xml:space="preserve"> IP/SP</w:t>
      </w:r>
    </w:p>
    <w:p w:rsidRPr="00C01C6E" w:rsidR="00827419" w:rsidP="00827419" w:rsidRDefault="00827419">
      <w:pPr>
        <w:pStyle w:val="NoSpacing"/>
        <w:rPr>
          <w:rFonts w:asciiTheme="majorHAnsi" w:hAnsiTheme="majorHAnsi"/>
        </w:rPr>
      </w:pPr>
      <w:r w:rsidRPr="00C01C6E">
        <w:rPr>
          <w:rFonts w:asciiTheme="majorHAnsi" w:hAnsiTheme="majorHAnsi"/>
        </w:rPr>
        <w:t>Nursing and Midwifery Council (NMC)</w:t>
      </w:r>
      <w:r w:rsidRPr="00C01C6E" w:rsidR="00AA5F2B">
        <w:rPr>
          <w:rFonts w:asciiTheme="majorHAnsi" w:hAnsiTheme="majorHAnsi"/>
        </w:rPr>
        <w:t xml:space="preserve"> and Health and Care Professions Council (HCPC)</w:t>
      </w:r>
    </w:p>
    <w:p w:rsidRPr="00ED31DC" w:rsidR="00827419" w:rsidP="00827419" w:rsidRDefault="00827419">
      <w:pPr>
        <w:pStyle w:val="headingunderline"/>
      </w:pPr>
    </w:p>
    <w:p w:rsidRPr="00ED31DC" w:rsidR="00827419" w:rsidP="00827419" w:rsidRDefault="00827419">
      <w:pPr>
        <w:rPr>
          <w:rFonts w:asciiTheme="majorHAnsi" w:hAnsiTheme="majorHAnsi"/>
        </w:rPr>
      </w:pPr>
    </w:p>
    <w:p w:rsidRPr="00ED31DC" w:rsidR="00827419" w:rsidP="00827419" w:rsidRDefault="00827419">
      <w:pPr>
        <w:pStyle w:val="Heading4"/>
      </w:pPr>
      <w:r w:rsidRPr="00ED31DC">
        <w:t>Awards of the university</w:t>
      </w:r>
      <w:r w:rsidRPr="00ED31DC">
        <w:tab/>
      </w:r>
    </w:p>
    <w:p w:rsidRPr="00ED31DC" w:rsidR="00827419" w:rsidP="00827419" w:rsidRDefault="00827419">
      <w:pPr>
        <w:rPr>
          <w:rFonts w:asciiTheme="majorHAnsi" w:hAnsiTheme="majorHAnsi"/>
        </w:rPr>
      </w:pPr>
      <w:r w:rsidRPr="00ED31DC">
        <w:rPr>
          <w:rFonts w:asciiTheme="majorHAnsi" w:hAnsiTheme="majorHAnsi"/>
        </w:rPr>
        <w:t>Exceptionally a student who has gained sufficient credit for the award may fail to achieve the award because of failing NMC/HCPC professional standards and proficiencies through the practice portfolio.</w:t>
      </w:r>
    </w:p>
    <w:p w:rsidRPr="00ED31DC" w:rsidR="00827419" w:rsidP="00827419" w:rsidRDefault="00827419">
      <w:pPr>
        <w:rPr>
          <w:rFonts w:asciiTheme="majorHAnsi" w:hAnsiTheme="majorHAnsi"/>
        </w:rPr>
      </w:pPr>
    </w:p>
    <w:p w:rsidRPr="00ED31DC" w:rsidR="00827419" w:rsidP="00827419" w:rsidRDefault="00827419">
      <w:pPr>
        <w:rPr>
          <w:rFonts w:asciiTheme="majorHAnsi" w:hAnsiTheme="majorHAnsi"/>
        </w:rPr>
      </w:pPr>
      <w:r w:rsidRPr="00ED31DC">
        <w:rPr>
          <w:rFonts w:asciiTheme="majorHAnsi" w:hAnsiTheme="majorHAnsi"/>
        </w:rPr>
        <w:t>Failure due to gross professional misconduct will result in immediate dismissal from the programme.</w:t>
      </w:r>
    </w:p>
    <w:p w:rsidRPr="00ED31DC" w:rsidR="00827419" w:rsidP="00827419" w:rsidRDefault="00827419">
      <w:pPr>
        <w:rPr>
          <w:rFonts w:asciiTheme="majorHAnsi" w:hAnsiTheme="majorHAnsi"/>
        </w:rPr>
      </w:pPr>
    </w:p>
    <w:p w:rsidRPr="00ED31DC" w:rsidR="00C23EFD" w:rsidP="00C23EFD" w:rsidRDefault="00C23EFD">
      <w:pPr>
        <w:pStyle w:val="NoSpacing"/>
        <w:rPr>
          <w:rFonts w:asciiTheme="majorHAnsi" w:hAnsiTheme="majorHAnsi"/>
        </w:rPr>
      </w:pPr>
      <w:r w:rsidRPr="00ED31DC">
        <w:rPr>
          <w:rFonts w:asciiTheme="majorHAnsi" w:hAnsiTheme="majorHAnsi"/>
        </w:rPr>
        <w:t xml:space="preserve">The following additional regulations also apply to: </w:t>
      </w:r>
    </w:p>
    <w:p w:rsidRPr="00ED31DC" w:rsidR="00C23EFD" w:rsidP="00C23EFD" w:rsidRDefault="00C23EFD">
      <w:pPr>
        <w:pStyle w:val="NoSpacing"/>
        <w:rPr>
          <w:rFonts w:asciiTheme="majorHAnsi" w:hAnsiTheme="majorHAnsi"/>
          <w:b/>
        </w:rPr>
      </w:pPr>
      <w:r w:rsidRPr="00ED31DC">
        <w:rPr>
          <w:rFonts w:asciiTheme="majorHAnsi" w:hAnsiTheme="majorHAnsi"/>
          <w:b/>
        </w:rPr>
        <w:t>Non-medical Prescribing BSc/</w:t>
      </w:r>
      <w:proofErr w:type="spellStart"/>
      <w:r w:rsidRPr="00ED31DC">
        <w:rPr>
          <w:rFonts w:asciiTheme="majorHAnsi" w:hAnsiTheme="majorHAnsi"/>
          <w:b/>
        </w:rPr>
        <w:t>GradCert</w:t>
      </w:r>
      <w:proofErr w:type="spellEnd"/>
      <w:r w:rsidRPr="00ED31DC">
        <w:rPr>
          <w:rFonts w:asciiTheme="majorHAnsi" w:hAnsiTheme="majorHAnsi"/>
          <w:b/>
        </w:rPr>
        <w:t>, B70042 ONLY</w:t>
      </w:r>
    </w:p>
    <w:p w:rsidRPr="00ED31DC" w:rsidR="00C23EFD" w:rsidP="00C23EFD" w:rsidRDefault="00C23EFD">
      <w:pPr>
        <w:pStyle w:val="Heading4"/>
      </w:pPr>
      <w:r w:rsidRPr="00ED31DC">
        <w:t>Passing a module/Compensation</w:t>
      </w:r>
    </w:p>
    <w:p w:rsidRPr="00ED31DC" w:rsidR="00C23EFD" w:rsidP="00C23EFD" w:rsidRDefault="00C23EFD">
      <w:pPr>
        <w:rPr>
          <w:rFonts w:asciiTheme="majorHAnsi" w:hAnsiTheme="majorHAnsi"/>
        </w:rPr>
      </w:pPr>
      <w:r w:rsidRPr="00ED31DC">
        <w:rPr>
          <w:rFonts w:asciiTheme="majorHAnsi" w:hAnsiTheme="majorHAnsi"/>
        </w:rPr>
        <w:t>All module components must be passed at 40 per cent. All zero-credit (pass/fail) components must be passed. No compensation is available.</w:t>
      </w:r>
    </w:p>
    <w:p w:rsidRPr="00ED31DC" w:rsidR="00C23EFD" w:rsidP="00827419" w:rsidRDefault="00C23EFD">
      <w:pPr>
        <w:rPr>
          <w:rFonts w:asciiTheme="majorHAnsi" w:hAnsiTheme="majorHAnsi"/>
        </w:rPr>
      </w:pPr>
    </w:p>
    <w:p w:rsidRPr="00ED31DC" w:rsidR="00827419" w:rsidP="00827419" w:rsidRDefault="00827419">
      <w:pPr>
        <w:pStyle w:val="NoSpacing"/>
        <w:rPr>
          <w:rFonts w:asciiTheme="majorHAnsi" w:hAnsiTheme="majorHAnsi"/>
        </w:rPr>
      </w:pPr>
      <w:r w:rsidRPr="00ED31DC">
        <w:rPr>
          <w:rFonts w:asciiTheme="majorHAnsi" w:hAnsiTheme="majorHAnsi"/>
        </w:rPr>
        <w:t>The following additional regulations also apply to:</w:t>
      </w:r>
    </w:p>
    <w:p w:rsidRPr="00ED31DC" w:rsidR="00827419" w:rsidP="00827419" w:rsidRDefault="0092685E">
      <w:pPr>
        <w:pStyle w:val="NoSpacing"/>
        <w:rPr>
          <w:rFonts w:asciiTheme="majorHAnsi" w:hAnsiTheme="majorHAnsi"/>
          <w:b/>
        </w:rPr>
      </w:pPr>
      <w:r w:rsidRPr="00ED31DC">
        <w:rPr>
          <w:rFonts w:asciiTheme="majorHAnsi" w:hAnsiTheme="majorHAnsi"/>
          <w:b/>
        </w:rPr>
        <w:t xml:space="preserve">The NMC V300 routes – </w:t>
      </w:r>
      <w:r w:rsidRPr="00ED31DC" w:rsidR="00827419">
        <w:rPr>
          <w:rFonts w:asciiTheme="majorHAnsi" w:hAnsiTheme="majorHAnsi"/>
          <w:b/>
        </w:rPr>
        <w:t>B70042 BSc/</w:t>
      </w:r>
      <w:proofErr w:type="spellStart"/>
      <w:r w:rsidRPr="00ED31DC" w:rsidR="00827419">
        <w:rPr>
          <w:rFonts w:asciiTheme="majorHAnsi" w:hAnsiTheme="majorHAnsi"/>
          <w:b/>
        </w:rPr>
        <w:t>GradCert</w:t>
      </w:r>
      <w:proofErr w:type="spellEnd"/>
      <w:r w:rsidRPr="00ED31DC" w:rsidR="00827419">
        <w:rPr>
          <w:rFonts w:asciiTheme="majorHAnsi" w:hAnsiTheme="majorHAnsi"/>
          <w:b/>
        </w:rPr>
        <w:t xml:space="preserve"> (PN024A) </w:t>
      </w:r>
      <w:r w:rsidRPr="00ED31DC" w:rsidR="00827419">
        <w:rPr>
          <w:rFonts w:asciiTheme="majorHAnsi" w:hAnsiTheme="majorHAnsi"/>
        </w:rPr>
        <w:t>and</w:t>
      </w:r>
      <w:r w:rsidRPr="00ED31DC" w:rsidR="00827419">
        <w:rPr>
          <w:rFonts w:asciiTheme="majorHAnsi" w:hAnsiTheme="majorHAnsi"/>
          <w:b/>
        </w:rPr>
        <w:t xml:space="preserve"> B23079 </w:t>
      </w:r>
      <w:proofErr w:type="spellStart"/>
      <w:r w:rsidRPr="00ED31DC" w:rsidR="00827419">
        <w:rPr>
          <w:rFonts w:asciiTheme="majorHAnsi" w:hAnsiTheme="majorHAnsi"/>
          <w:b/>
        </w:rPr>
        <w:t>PgCert</w:t>
      </w:r>
      <w:proofErr w:type="spellEnd"/>
      <w:r w:rsidRPr="00ED31DC" w:rsidR="00827419">
        <w:rPr>
          <w:rFonts w:asciiTheme="majorHAnsi" w:hAnsiTheme="majorHAnsi"/>
          <w:b/>
        </w:rPr>
        <w:t xml:space="preserve"> (PN185T) ONLY</w:t>
      </w:r>
    </w:p>
    <w:p w:rsidRPr="00ED31DC" w:rsidR="00AA5F2B" w:rsidP="00AA5F2B" w:rsidRDefault="00AA5F2B">
      <w:pPr>
        <w:pStyle w:val="Heading4"/>
      </w:pPr>
      <w:r w:rsidRPr="00ED31DC">
        <w:t>Awards of the university</w:t>
      </w:r>
    </w:p>
    <w:p w:rsidRPr="00ED31DC" w:rsidR="00827419" w:rsidP="00827419" w:rsidRDefault="00827419">
      <w:pPr>
        <w:rPr>
          <w:rFonts w:asciiTheme="majorHAnsi" w:hAnsiTheme="majorHAnsi"/>
        </w:rPr>
      </w:pPr>
      <w:r w:rsidRPr="00ED31DC">
        <w:rPr>
          <w:rFonts w:asciiTheme="majorHAnsi" w:hAnsiTheme="majorHAnsi"/>
        </w:rPr>
        <w:t xml:space="preserve">The NMC V300 recorded qualification is linked to the BSc and </w:t>
      </w:r>
      <w:proofErr w:type="spellStart"/>
      <w:r w:rsidRPr="00ED31DC">
        <w:rPr>
          <w:rFonts w:asciiTheme="majorHAnsi" w:hAnsiTheme="majorHAnsi"/>
        </w:rPr>
        <w:t>GradCert</w:t>
      </w:r>
      <w:proofErr w:type="spellEnd"/>
      <w:r w:rsidRPr="00ED31DC">
        <w:rPr>
          <w:rFonts w:asciiTheme="majorHAnsi" w:hAnsiTheme="majorHAnsi"/>
        </w:rPr>
        <w:t xml:space="preserve"> (PN024A) and the PgCert (PN185T) only and is for nurses and midwives only. </w:t>
      </w:r>
    </w:p>
    <w:p w:rsidRPr="00ED31DC" w:rsidR="00827419" w:rsidP="00827419" w:rsidRDefault="00827419">
      <w:pPr>
        <w:rPr>
          <w:rFonts w:asciiTheme="majorHAnsi" w:hAnsiTheme="majorHAnsi"/>
        </w:rPr>
      </w:pPr>
    </w:p>
    <w:p w:rsidRPr="00ED31DC" w:rsidR="00827419" w:rsidP="00827419" w:rsidRDefault="00827419">
      <w:pPr>
        <w:pStyle w:val="NoSpacing"/>
        <w:rPr>
          <w:rFonts w:asciiTheme="majorHAnsi" w:hAnsiTheme="majorHAnsi"/>
        </w:rPr>
      </w:pPr>
      <w:r w:rsidRPr="00ED31DC">
        <w:rPr>
          <w:rFonts w:asciiTheme="majorHAnsi" w:hAnsiTheme="majorHAnsi"/>
        </w:rPr>
        <w:t>The following additional regulations also apply to:</w:t>
      </w:r>
    </w:p>
    <w:p w:rsidRPr="00ED31DC" w:rsidR="00827419" w:rsidP="00827419" w:rsidRDefault="0092685E">
      <w:pPr>
        <w:pStyle w:val="NoSpacing"/>
        <w:rPr>
          <w:rFonts w:asciiTheme="majorHAnsi" w:hAnsiTheme="majorHAnsi"/>
          <w:b/>
        </w:rPr>
      </w:pPr>
      <w:r w:rsidRPr="00ED31DC">
        <w:rPr>
          <w:rFonts w:asciiTheme="majorHAnsi" w:hAnsiTheme="majorHAnsi"/>
          <w:b/>
        </w:rPr>
        <w:t xml:space="preserve">The HCPC IP/SP routes – </w:t>
      </w:r>
      <w:r w:rsidRPr="00ED31DC" w:rsidR="00827419">
        <w:rPr>
          <w:rFonts w:asciiTheme="majorHAnsi" w:hAnsiTheme="majorHAnsi"/>
          <w:b/>
        </w:rPr>
        <w:t>B70042 BSc/</w:t>
      </w:r>
      <w:proofErr w:type="spellStart"/>
      <w:r w:rsidRPr="00ED31DC" w:rsidR="00827419">
        <w:rPr>
          <w:rFonts w:asciiTheme="majorHAnsi" w:hAnsiTheme="majorHAnsi"/>
          <w:b/>
        </w:rPr>
        <w:t>GradCert</w:t>
      </w:r>
      <w:proofErr w:type="spellEnd"/>
      <w:r w:rsidRPr="00ED31DC" w:rsidR="00827419">
        <w:rPr>
          <w:rFonts w:asciiTheme="majorHAnsi" w:hAnsiTheme="majorHAnsi"/>
          <w:b/>
        </w:rPr>
        <w:t xml:space="preserve"> (PN025A) </w:t>
      </w:r>
      <w:r w:rsidRPr="00ED31DC" w:rsidR="00827419">
        <w:rPr>
          <w:rFonts w:asciiTheme="majorHAnsi" w:hAnsiTheme="majorHAnsi"/>
        </w:rPr>
        <w:t xml:space="preserve">and </w:t>
      </w:r>
      <w:r w:rsidRPr="00ED31DC" w:rsidR="00943889">
        <w:rPr>
          <w:rFonts w:asciiTheme="majorHAnsi" w:hAnsiTheme="majorHAnsi"/>
          <w:b/>
        </w:rPr>
        <w:t xml:space="preserve">B23079 </w:t>
      </w:r>
      <w:proofErr w:type="spellStart"/>
      <w:r w:rsidRPr="00ED31DC" w:rsidR="00827419">
        <w:rPr>
          <w:rFonts w:asciiTheme="majorHAnsi" w:hAnsiTheme="majorHAnsi"/>
          <w:b/>
        </w:rPr>
        <w:t>PgCert</w:t>
      </w:r>
      <w:proofErr w:type="spellEnd"/>
      <w:r w:rsidRPr="00ED31DC" w:rsidR="00943889">
        <w:rPr>
          <w:rFonts w:asciiTheme="majorHAnsi" w:hAnsiTheme="majorHAnsi"/>
          <w:b/>
        </w:rPr>
        <w:t xml:space="preserve"> (PN185U) ONLY</w:t>
      </w:r>
    </w:p>
    <w:p w:rsidRPr="00ED31DC" w:rsidR="00AA5F2B" w:rsidP="00AA5F2B" w:rsidRDefault="00AA5F2B">
      <w:pPr>
        <w:pStyle w:val="Heading4"/>
      </w:pPr>
      <w:r w:rsidRPr="00ED31DC">
        <w:t>Awards of the university</w:t>
      </w:r>
    </w:p>
    <w:p w:rsidRPr="00ED31DC" w:rsidR="00827419" w:rsidP="00827419" w:rsidRDefault="00827419">
      <w:pPr>
        <w:rPr>
          <w:rFonts w:asciiTheme="majorHAnsi" w:hAnsiTheme="majorHAnsi"/>
        </w:rPr>
      </w:pPr>
      <w:r w:rsidRPr="00ED31DC">
        <w:rPr>
          <w:rFonts w:asciiTheme="majorHAnsi" w:hAnsiTheme="majorHAnsi"/>
        </w:rPr>
        <w:t>The annotation as an independent and supplementary prescriber with the HCPC is linked to the BSc (PN025A) and PgCert (PN185</w:t>
      </w:r>
      <w:r w:rsidRPr="00ED31DC" w:rsidR="00C23EFD">
        <w:rPr>
          <w:rFonts w:asciiTheme="majorHAnsi" w:hAnsiTheme="majorHAnsi"/>
        </w:rPr>
        <w:t>U</w:t>
      </w:r>
      <w:r w:rsidRPr="00ED31DC">
        <w:rPr>
          <w:rFonts w:asciiTheme="majorHAnsi" w:hAnsiTheme="majorHAnsi"/>
        </w:rPr>
        <w:t>) only and is for physiotherapists and podiatrists only.</w:t>
      </w:r>
    </w:p>
    <w:p w:rsidRPr="00ED31DC" w:rsidR="00827419" w:rsidP="00827419" w:rsidRDefault="00827419">
      <w:pPr>
        <w:rPr>
          <w:rFonts w:asciiTheme="majorHAnsi" w:hAnsiTheme="majorHAnsi"/>
        </w:rPr>
      </w:pPr>
    </w:p>
    <w:p w:rsidRPr="00ED31DC" w:rsidR="00C23EFD" w:rsidP="00814B4B" w:rsidRDefault="00827419">
      <w:pPr>
        <w:rPr>
          <w:rFonts w:asciiTheme="majorHAnsi" w:hAnsiTheme="majorHAnsi"/>
        </w:rPr>
      </w:pPr>
      <w:r w:rsidRPr="00ED31DC">
        <w:rPr>
          <w:rFonts w:asciiTheme="majorHAnsi" w:hAnsiTheme="majorHAnsi"/>
        </w:rPr>
        <w:t>The annotation as a supplementary prescriber with the HCPC is linked to the</w:t>
      </w:r>
      <w:r w:rsidRPr="00ED31DC" w:rsidR="00AA5F2B">
        <w:rPr>
          <w:rFonts w:asciiTheme="majorHAnsi" w:hAnsiTheme="majorHAnsi"/>
        </w:rPr>
        <w:t xml:space="preserve"> BSc (PN025A) and PgCert (PN185U</w:t>
      </w:r>
      <w:r w:rsidRPr="00ED31DC">
        <w:rPr>
          <w:rFonts w:asciiTheme="majorHAnsi" w:hAnsiTheme="majorHAnsi"/>
        </w:rPr>
        <w:t>) only and is for radiographers only.</w:t>
      </w:r>
    </w:p>
    <w:p w:rsidRPr="00B77A96" w:rsidR="00814B4B" w:rsidP="00814B4B" w:rsidRDefault="00814B4B">
      <w:pPr>
        <w:rPr>
          <w:rFonts w:asciiTheme="majorHAnsi" w:hAnsiTheme="majorHAnsi"/>
          <w:strike/>
        </w:rPr>
      </w:pPr>
    </w:p>
    <w:p w:rsidR="00814B4B" w:rsidP="00814B4B" w:rsidRDefault="00814B4B">
      <w:pPr>
        <w:rPr>
          <w:rFonts w:eastAsiaTheme="minorEastAsia"/>
          <w:i/>
          <w:color w:val="548AB7" w:themeColor="accent1" w:themeShade="BF"/>
          <w:lang w:val="en-US"/>
        </w:rPr>
      </w:pPr>
    </w:p>
    <w:p w:rsidR="00A51DBC" w:rsidP="002C728C" w:rsidRDefault="00A51DBC">
      <w:pPr>
        <w:pStyle w:val="NoSpacing"/>
        <w:rPr>
          <w:b/>
        </w:rPr>
      </w:pPr>
    </w:p>
    <w:p w:rsidR="002C728C" w:rsidP="002C728C" w:rsidRDefault="002C728C">
      <w:pPr>
        <w:pStyle w:val="NoSpacing"/>
        <w:rPr>
          <w:b/>
        </w:rPr>
      </w:pPr>
      <w:r w:rsidRPr="00CA611B">
        <w:rPr>
          <w:b/>
        </w:rPr>
        <w:t>Nursing BSc (Hons), B70052 (commissioned)/B70056 (non-commissioned)</w:t>
      </w:r>
    </w:p>
    <w:p w:rsidRPr="00D91612" w:rsidR="002C0F34" w:rsidP="002C0F34" w:rsidRDefault="002C0F34">
      <w:pPr>
        <w:pStyle w:val="NoSpacing"/>
      </w:pPr>
      <w:r>
        <w:t>Nursing and Midwifery Council (NMC)</w:t>
      </w:r>
    </w:p>
    <w:p w:rsidRPr="00F416DE" w:rsidR="002C0F34" w:rsidP="002C728C" w:rsidRDefault="002C0F34">
      <w:pPr>
        <w:pStyle w:val="NoSpacing"/>
      </w:pPr>
      <w:r>
        <w:t>_________________________________________________________________________________________</w:t>
      </w:r>
    </w:p>
    <w:p w:rsidR="002C0F34" w:rsidP="002C0F34" w:rsidRDefault="002C0F34">
      <w:pPr>
        <w:pStyle w:val="Heading4"/>
      </w:pPr>
      <w:r>
        <w:t>Passing a module/Compensation</w:t>
      </w:r>
    </w:p>
    <w:p w:rsidRPr="002C0F34" w:rsidR="002C0F34" w:rsidP="002C0F34" w:rsidRDefault="002C0F34">
      <w:r w:rsidRPr="002C0F34">
        <w:t xml:space="preserve">All module components must be passed at 40 per cent.  In some </w:t>
      </w:r>
      <w:proofErr w:type="gramStart"/>
      <w:r w:rsidRPr="002C0F34">
        <w:t>instances</w:t>
      </w:r>
      <w:proofErr w:type="gramEnd"/>
      <w:r w:rsidRPr="002C0F34">
        <w:t xml:space="preserve"> the components can be higher than 40%.  All zero-credit (pass/fail) components must be passed. No compensation is available.</w:t>
      </w:r>
    </w:p>
    <w:p w:rsidR="002C0F34" w:rsidP="002C0F34" w:rsidRDefault="002C0F34"/>
    <w:p w:rsidR="002C0F34" w:rsidP="002C0F34" w:rsidRDefault="002C0F34">
      <w:pPr>
        <w:pStyle w:val="Heading4"/>
      </w:pPr>
      <w:r>
        <w:t>Reassessment of failure</w:t>
      </w:r>
    </w:p>
    <w:p w:rsidR="002C0F34" w:rsidP="002C0F34" w:rsidRDefault="002C0F34">
      <w:r>
        <w:t xml:space="preserve">A student will have a maximum of </w:t>
      </w:r>
      <w:r w:rsidRPr="006F5D4E">
        <w:t>90</w:t>
      </w:r>
      <w:r>
        <w:t xml:space="preserve"> credits of reassessment opportunities at each level of study.</w:t>
      </w:r>
    </w:p>
    <w:p w:rsidR="002C0F34" w:rsidP="002C0F34" w:rsidRDefault="002C0F34"/>
    <w:p w:rsidR="002C0F34" w:rsidP="002C0F34" w:rsidRDefault="002C0F34">
      <w:pPr>
        <w:pStyle w:val="Heading4"/>
      </w:pPr>
      <w:r>
        <w:t xml:space="preserve">Classification of awards </w:t>
      </w:r>
      <w:r>
        <w:tab/>
      </w:r>
    </w:p>
    <w:p w:rsidRPr="002C0F34" w:rsidR="002C0F34" w:rsidP="002C0F34" w:rsidRDefault="002C0F34">
      <w:r w:rsidRPr="002C0F34">
        <w:t xml:space="preserve">Professional responsibility 1 and 2 are zero credit modules which embed the practice requirements for nursing. Each </w:t>
      </w:r>
      <w:proofErr w:type="gramStart"/>
      <w:r w:rsidRPr="002C0F34">
        <w:t>zero credit</w:t>
      </w:r>
      <w:proofErr w:type="gramEnd"/>
      <w:r w:rsidRPr="002C0F34">
        <w:t xml:space="preserve"> module can be reassessed on two occasions. If the module is failed at the first reassessment the student will be back-grouped to a different cohort to allow the second and final attempt at the module. No reassessment is available on the back-grouped attempt.</w:t>
      </w:r>
    </w:p>
    <w:p w:rsidRPr="006F5D4E" w:rsidR="002C0F34" w:rsidP="002C0F34" w:rsidRDefault="002C0F34"/>
    <w:p w:rsidRPr="00D83599" w:rsidR="00CD6C5D" w:rsidP="00CD6C5D" w:rsidRDefault="00CD6C5D">
      <w:pPr>
        <w:pStyle w:val="Heading4"/>
      </w:pPr>
      <w:r w:rsidRPr="00D83599">
        <w:t>Repeating an undergraduate level of study</w:t>
      </w:r>
    </w:p>
    <w:p w:rsidRPr="0020405E" w:rsidR="0020405E" w:rsidP="0020405E" w:rsidRDefault="0020405E">
      <w:r w:rsidRPr="0020405E">
        <w:t>The Regulation to Repeat Level 4 study is not applicable to this programme.</w:t>
      </w:r>
    </w:p>
    <w:p w:rsidRPr="00D83599" w:rsidR="00CD6C5D" w:rsidP="00CD6C5D" w:rsidRDefault="00CD6C5D">
      <w:r w:rsidRPr="00D83599">
        <w:t xml:space="preserve"> </w:t>
      </w:r>
    </w:p>
    <w:p w:rsidRPr="001B3149" w:rsidR="002C0F34" w:rsidP="002C0F34" w:rsidRDefault="002C0F34">
      <w:pPr>
        <w:pStyle w:val="Heading4"/>
      </w:pPr>
      <w:r w:rsidRPr="001B3149">
        <w:t xml:space="preserve">Undergraduate awards </w:t>
      </w:r>
    </w:p>
    <w:p w:rsidRPr="00033152" w:rsidR="0064694D" w:rsidP="002C0F34" w:rsidRDefault="0064694D">
      <w:pPr>
        <w:rPr>
          <w:highlight w:val="yellow"/>
        </w:rPr>
      </w:pPr>
    </w:p>
    <w:p w:rsidRPr="0064694D" w:rsidR="0064694D" w:rsidP="0064694D" w:rsidRDefault="0064694D">
      <w:pPr>
        <w:pStyle w:val="Default"/>
        <w:rPr>
          <w:rFonts w:asciiTheme="minorHAnsi" w:hAnsiTheme="minorHAnsi"/>
          <w:sz w:val="22"/>
          <w:szCs w:val="22"/>
        </w:rPr>
      </w:pPr>
      <w:r w:rsidRPr="00BE758B">
        <w:rPr>
          <w:rFonts w:asciiTheme="minorHAnsi" w:hAnsiTheme="minorHAnsi"/>
          <w:sz w:val="22"/>
          <w:szCs w:val="22"/>
        </w:rPr>
        <w:t>If a student fails to achieve the Nursing with NMC qualification, any exit award will follow the university’s generic academic regulations and will lead to an award in Health-Related Studies. Exit awards are not recognised for registration purposes by the NMC.</w:t>
      </w:r>
      <w:r w:rsidRPr="0064694D">
        <w:rPr>
          <w:rFonts w:asciiTheme="minorHAnsi" w:hAnsiTheme="minorHAnsi"/>
          <w:sz w:val="22"/>
          <w:szCs w:val="22"/>
        </w:rPr>
        <w:t xml:space="preserve"> </w:t>
      </w:r>
    </w:p>
    <w:p w:rsidRPr="001B3149" w:rsidR="002C0F34" w:rsidP="002C0F34" w:rsidRDefault="002C0F34"/>
    <w:p w:rsidR="00360CE2" w:rsidP="00360CE2" w:rsidRDefault="00360CE2">
      <w:proofErr w:type="gramStart"/>
      <w:r>
        <w:t>Non submission</w:t>
      </w:r>
      <w:proofErr w:type="gramEnd"/>
      <w:r>
        <w:t xml:space="preserve"> or </w:t>
      </w:r>
      <w:proofErr w:type="spellStart"/>
      <w:r>
        <w:t>non completion</w:t>
      </w:r>
      <w:proofErr w:type="spellEnd"/>
      <w:r>
        <w:t xml:space="preserve"> of professional conduct following a practice placement will lead to investigation by the academic assessor with a record of the outcome being placed on the student file.</w:t>
      </w:r>
    </w:p>
    <w:p w:rsidR="00360CE2" w:rsidP="00360CE2" w:rsidRDefault="00360CE2"/>
    <w:p w:rsidR="00360CE2" w:rsidP="00360CE2" w:rsidRDefault="00360CE2">
      <w:r>
        <w:t xml:space="preserve">Two occasions of </w:t>
      </w:r>
      <w:proofErr w:type="spellStart"/>
      <w:proofErr w:type="gramStart"/>
      <w:r>
        <w:t>non submission</w:t>
      </w:r>
      <w:proofErr w:type="spellEnd"/>
      <w:proofErr w:type="gramEnd"/>
      <w:r>
        <w:t xml:space="preserve"> or </w:t>
      </w:r>
      <w:proofErr w:type="spellStart"/>
      <w:r>
        <w:t>non completion</w:t>
      </w:r>
      <w:proofErr w:type="spellEnd"/>
      <w:r>
        <w:t xml:space="preserve"> of professional conduct within the programme will lead to submission of a student concern form with investigation by the programme leader, this may lead to fitness to practise investigation.</w:t>
      </w:r>
    </w:p>
    <w:p w:rsidR="00360CE2" w:rsidP="00360CE2" w:rsidRDefault="00360CE2"/>
    <w:p w:rsidR="00360CE2" w:rsidP="00360CE2" w:rsidRDefault="00360CE2">
      <w:r>
        <w:t>Two fails in professional conduct within one year or two consecutive fails of professional conduct will lead to discontinuation from the programme.</w:t>
      </w:r>
    </w:p>
    <w:p w:rsidR="00360CE2" w:rsidP="00360CE2" w:rsidRDefault="00360CE2"/>
    <w:p w:rsidRPr="001B3149" w:rsidR="002C0F34" w:rsidP="00360CE2" w:rsidRDefault="00360CE2">
      <w:pPr>
        <w:rPr>
          <w:strike/>
        </w:rPr>
      </w:pPr>
      <w:r>
        <w:t xml:space="preserve">It is a requirement of the programme that students attend clinical placement. Unauthorised </w:t>
      </w:r>
      <w:proofErr w:type="spellStart"/>
      <w:proofErr w:type="gramStart"/>
      <w:r>
        <w:t>non attendance</w:t>
      </w:r>
      <w:proofErr w:type="spellEnd"/>
      <w:proofErr w:type="gramEnd"/>
      <w:r>
        <w:t xml:space="preserve"> in placement will be investigated and may lead to discontinuation from the programme.</w:t>
      </w:r>
    </w:p>
    <w:p w:rsidR="00B47678" w:rsidP="00B47678" w:rsidRDefault="00B47678"/>
    <w:p w:rsidR="00BA7E3D" w:rsidP="00BA7E3D" w:rsidRDefault="00BA7E3D">
      <w:pPr>
        <w:pStyle w:val="Heading4"/>
      </w:pPr>
      <w:r>
        <w:t xml:space="preserve">Progression between undergraduate levels of study </w:t>
      </w:r>
    </w:p>
    <w:p w:rsidR="00BA7E3D" w:rsidP="00BA7E3D" w:rsidRDefault="00BA7E3D">
      <w:pPr>
        <w:rPr>
          <w:color w:val="FF0000"/>
        </w:rPr>
      </w:pPr>
      <w:r>
        <w:t xml:space="preserve">The first progression point as outlined by the NMC is to be achieved by the end of level 4 study. </w:t>
      </w:r>
      <w:proofErr w:type="gramStart"/>
      <w:r>
        <w:t>Therefore</w:t>
      </w:r>
      <w:proofErr w:type="gramEnd"/>
      <w:r>
        <w:t xml:space="preserve"> a student must complete all modules successfully at level 4, including retrieval of any failure, within 12 weeks of the assessment board when progression was confirmed. </w:t>
      </w:r>
      <w:r>
        <w:rPr>
          <w:color w:val="FF0000"/>
        </w:rPr>
        <w:t>Note: this requirement has temporarily been removed</w:t>
      </w:r>
    </w:p>
    <w:p w:rsidR="00BA7E3D" w:rsidP="00BA7E3D" w:rsidRDefault="00BA7E3D"/>
    <w:p w:rsidR="00BA7E3D" w:rsidP="00BA7E3D" w:rsidRDefault="00BA7E3D">
      <w:pPr>
        <w:rPr>
          <w:color w:val="FF0000"/>
        </w:rPr>
      </w:pPr>
      <w:r>
        <w:t xml:space="preserve">The second progression point as outlined by the NMC is to be achieved by the end of level 5 study.  </w:t>
      </w:r>
      <w:proofErr w:type="gramStart"/>
      <w:r>
        <w:t>Therefore</w:t>
      </w:r>
      <w:proofErr w:type="gramEnd"/>
      <w:r>
        <w:t xml:space="preserve"> a student must complete all modules successfully at level 5, including retrieval of any failure, within 12 weeks of assessment board when progression was confirmed. </w:t>
      </w:r>
      <w:r>
        <w:rPr>
          <w:color w:val="FF0000"/>
        </w:rPr>
        <w:t>Note: this requirement has temporarily been removed.</w:t>
      </w:r>
    </w:p>
    <w:p w:rsidR="001B3149" w:rsidP="001B3149" w:rsidRDefault="001B3149"/>
    <w:p w:rsidRPr="00E64C2A" w:rsidR="001B3149" w:rsidP="001B3149" w:rsidRDefault="00E64C2A">
      <w:pPr>
        <w:pStyle w:val="NoSpacing"/>
        <w:rPr>
          <w:rFonts w:asciiTheme="majorHAnsi" w:hAnsiTheme="majorHAnsi"/>
          <w:i w:val="0"/>
          <w:color w:val="80865A" w:themeColor="accent3" w:themeShade="BF"/>
        </w:rPr>
      </w:pPr>
      <w:r w:rsidRPr="00E64C2A">
        <w:rPr>
          <w:rFonts w:asciiTheme="majorHAnsi" w:hAnsiTheme="majorHAnsi"/>
          <w:i w:val="0"/>
          <w:color w:val="80865A" w:themeColor="accent3" w:themeShade="BF"/>
        </w:rPr>
        <w:t>Other Requirements</w:t>
      </w:r>
    </w:p>
    <w:p w:rsidR="00EC14B8" w:rsidP="00E64C2A" w:rsidRDefault="00EC14B8">
      <w:pPr>
        <w:pStyle w:val="ListParagraph"/>
        <w:numPr>
          <w:ilvl w:val="0"/>
          <w:numId w:val="0"/>
        </w:numPr>
        <w:jc w:val="both"/>
        <w:rPr>
          <w:rFonts w:asciiTheme="minorHAnsi" w:hAnsiTheme="minorHAnsi"/>
          <w:i/>
          <w:iCs/>
        </w:rPr>
      </w:pPr>
    </w:p>
    <w:p w:rsidRPr="00C220F2" w:rsidR="00C220F2" w:rsidP="00C220F2" w:rsidRDefault="00C220F2">
      <w:pPr>
        <w:rPr>
          <w:rFonts w:cs="Arial"/>
        </w:rPr>
      </w:pPr>
      <w:r w:rsidRPr="00C220F2">
        <w:rPr>
          <w:rFonts w:cs="Arial"/>
        </w:rPr>
        <w:t>In order to meet NMC requirements, students undertaking the programme leading to their first registration with the NMC would be allowed a maximum of 60 credits of RPL at level 5, rather than 120 credits as per the generic regulations.</w:t>
      </w:r>
    </w:p>
    <w:p w:rsidR="00C220F2" w:rsidP="00C220F2" w:rsidRDefault="00C220F2">
      <w:pPr>
        <w:rPr>
          <w:rFonts w:ascii="Arial" w:hAnsi="Arial" w:cs="Arial"/>
        </w:rPr>
      </w:pPr>
    </w:p>
    <w:p w:rsidRPr="006169C2" w:rsidR="00EC14B8" w:rsidP="00EC14B8" w:rsidRDefault="00EC14B8">
      <w:r w:rsidRPr="006169C2">
        <w:rPr>
          <w:rFonts w:cs="Arial"/>
        </w:rPr>
        <w:t>The hours recorded on module specifications for theory and practice will be collectively combined across the duration of the students’ programme to ensure that students are able to achieve the minimum credits required by the QAA for a BSc (Hons) award and the practice and theory hour requirements of the NMC.</w:t>
      </w:r>
    </w:p>
    <w:p w:rsidR="00EC14B8" w:rsidP="00E64C2A" w:rsidRDefault="00EC14B8">
      <w:pPr>
        <w:pStyle w:val="ListParagraph"/>
        <w:numPr>
          <w:ilvl w:val="0"/>
          <w:numId w:val="0"/>
        </w:numPr>
        <w:jc w:val="both"/>
        <w:rPr>
          <w:rFonts w:asciiTheme="minorHAnsi" w:hAnsiTheme="minorHAnsi"/>
          <w:i/>
          <w:iCs/>
        </w:rPr>
      </w:pPr>
    </w:p>
    <w:p w:rsidRPr="00E64C2A" w:rsidR="00E64C2A" w:rsidP="00E64C2A" w:rsidRDefault="00E64C2A">
      <w:pPr>
        <w:pStyle w:val="ListParagraph"/>
        <w:numPr>
          <w:ilvl w:val="0"/>
          <w:numId w:val="0"/>
        </w:numPr>
        <w:jc w:val="both"/>
        <w:rPr>
          <w:rFonts w:asciiTheme="minorHAnsi" w:hAnsiTheme="minorHAnsi"/>
        </w:rPr>
      </w:pPr>
      <w:r w:rsidRPr="00E64C2A">
        <w:rPr>
          <w:rFonts w:asciiTheme="minorHAnsi" w:hAnsiTheme="minorHAnsi"/>
        </w:rPr>
        <w:t>It is a requirement of the programme that students complete a COVID-19 risk assessment to be permitted to participant in placement activities. If students fail to complete the COVID-19 risk assessment as required, they will be discontinued from the programme.</w:t>
      </w:r>
    </w:p>
    <w:p w:rsidRPr="00E64C2A" w:rsidR="00E64C2A" w:rsidP="001B3149" w:rsidRDefault="00E64C2A">
      <w:pPr>
        <w:pStyle w:val="NoSpacing"/>
        <w:rPr>
          <w:i w:val="0"/>
        </w:rPr>
      </w:pPr>
    </w:p>
    <w:p w:rsidR="00255F0F" w:rsidP="001B3149" w:rsidRDefault="00255F0F"/>
    <w:p w:rsidR="00360CE2" w:rsidP="001B3149" w:rsidRDefault="00360CE2"/>
    <w:p w:rsidR="00255F0F" w:rsidP="001B3149" w:rsidRDefault="00C01C6E">
      <w:pPr>
        <w:rPr>
          <w:b/>
          <w:color w:val="548AB7" w:themeColor="accent1" w:themeShade="BF"/>
        </w:rPr>
      </w:pPr>
      <w:r>
        <w:rPr>
          <w:b/>
          <w:color w:val="548AB7" w:themeColor="accent1" w:themeShade="BF"/>
        </w:rPr>
        <w:t>Nursing Associate B70012</w:t>
      </w:r>
      <w:r w:rsidR="002A08E2">
        <w:rPr>
          <w:b/>
          <w:color w:val="548AB7" w:themeColor="accent1" w:themeShade="BF"/>
        </w:rPr>
        <w:t>, B70013</w:t>
      </w:r>
    </w:p>
    <w:p w:rsidR="00C01C6E" w:rsidP="00C01C6E" w:rsidRDefault="00C01C6E">
      <w:pPr>
        <w:pStyle w:val="NoSpacing"/>
      </w:pPr>
      <w:r>
        <w:t>Nursing and Midwifery Council (NMC)</w:t>
      </w:r>
    </w:p>
    <w:p w:rsidRPr="00F416DE" w:rsidR="00C01C6E" w:rsidP="00C01C6E" w:rsidRDefault="00C01C6E">
      <w:pPr>
        <w:pStyle w:val="NoSpacing"/>
      </w:pPr>
      <w:r>
        <w:t>_________________________________________________________________________________________</w:t>
      </w:r>
    </w:p>
    <w:p w:rsidR="00C01C6E" w:rsidP="00C01C6E" w:rsidRDefault="00C01C6E">
      <w:pPr>
        <w:pStyle w:val="NoSpacing"/>
        <w:rPr>
          <w:b/>
        </w:rPr>
      </w:pPr>
    </w:p>
    <w:p w:rsidR="00C01C6E" w:rsidP="00C01C6E" w:rsidRDefault="00C01C6E">
      <w:pPr>
        <w:pStyle w:val="Heading4"/>
      </w:pPr>
      <w:r>
        <w:t>Passing a module/Compensation</w:t>
      </w:r>
    </w:p>
    <w:p w:rsidR="00C01C6E" w:rsidP="00C01C6E" w:rsidRDefault="00C01C6E">
      <w:r w:rsidRPr="002C0F34">
        <w:t xml:space="preserve">All module components must be passed at 40 per cent.  In some </w:t>
      </w:r>
      <w:proofErr w:type="gramStart"/>
      <w:r w:rsidRPr="002C0F34">
        <w:t>instances</w:t>
      </w:r>
      <w:proofErr w:type="gramEnd"/>
      <w:r w:rsidRPr="002C0F34">
        <w:t xml:space="preserve"> the components can be higher than 40%.  </w:t>
      </w:r>
      <w:r w:rsidR="002A08E2">
        <w:t>No compensation is permitted.</w:t>
      </w:r>
    </w:p>
    <w:p w:rsidRPr="002C0F34" w:rsidR="00C01C6E" w:rsidP="00C01C6E" w:rsidRDefault="00C01C6E"/>
    <w:p w:rsidR="00C01C6E" w:rsidP="00C01C6E" w:rsidRDefault="00C01C6E">
      <w:pPr>
        <w:pStyle w:val="Heading4"/>
      </w:pPr>
      <w:r>
        <w:t>Reassessment of failure</w:t>
      </w:r>
    </w:p>
    <w:p w:rsidR="00C01C6E" w:rsidP="00C01C6E" w:rsidRDefault="00C01C6E">
      <w:r>
        <w:t xml:space="preserve">A student will have a maximum of </w:t>
      </w:r>
      <w:r w:rsidRPr="006F5D4E">
        <w:t>90</w:t>
      </w:r>
      <w:r>
        <w:t xml:space="preserve"> credits of reassessment opportunities at each level of study.</w:t>
      </w:r>
    </w:p>
    <w:p w:rsidR="00F96FE7" w:rsidP="001B3149" w:rsidRDefault="00F96FE7">
      <w:pPr>
        <w:rPr>
          <w:color w:val="548AB7" w:themeColor="accent1" w:themeShade="BF"/>
        </w:rPr>
      </w:pPr>
    </w:p>
    <w:p w:rsidR="009B5ACE" w:rsidP="001B3149" w:rsidRDefault="009B5ACE">
      <w:pPr>
        <w:rPr>
          <w:color w:val="548AB7" w:themeColor="accent1" w:themeShade="BF"/>
        </w:rPr>
      </w:pPr>
    </w:p>
    <w:p w:rsidR="009B5ACE" w:rsidP="001B3149" w:rsidRDefault="009B5ACE">
      <w:pPr>
        <w:rPr>
          <w:color w:val="548AB7" w:themeColor="accent1" w:themeShade="BF"/>
        </w:rPr>
      </w:pPr>
    </w:p>
    <w:p w:rsidR="00A851F7" w:rsidP="00A851F7" w:rsidRDefault="00A851F7">
      <w:pPr>
        <w:pStyle w:val="Heading3"/>
      </w:pPr>
      <w:r>
        <w:t>Paramedicine BSc (Hons), B95041</w:t>
      </w:r>
    </w:p>
    <w:p w:rsidR="00A851F7" w:rsidP="00A851F7" w:rsidRDefault="00A851F7">
      <w:pPr>
        <w:pStyle w:val="Heading3"/>
      </w:pPr>
      <w:r>
        <w:t>Associate Ambulance Practice DipHE, B95021</w:t>
      </w:r>
    </w:p>
    <w:p w:rsidR="00A851F7" w:rsidP="00A851F7" w:rsidRDefault="00A851F7">
      <w:pPr>
        <w:pStyle w:val="NoSpacing"/>
      </w:pPr>
      <w:r>
        <w:t>Health and Care Professions Council (HCPC)</w:t>
      </w:r>
    </w:p>
    <w:p w:rsidR="00A851F7" w:rsidP="00A851F7" w:rsidRDefault="00A851F7">
      <w:pPr>
        <w:pStyle w:val="NoSpacing"/>
      </w:pPr>
      <w:r>
        <w:t>__________________________________________________________________________________________</w:t>
      </w:r>
    </w:p>
    <w:p w:rsidR="00A851F7" w:rsidP="00A851F7" w:rsidRDefault="00A851F7">
      <w:pPr>
        <w:pStyle w:val="Heading4"/>
      </w:pPr>
      <w:r>
        <w:t>Reassessment of failure</w:t>
      </w:r>
    </w:p>
    <w:p w:rsidR="008416BE" w:rsidP="00A851F7" w:rsidRDefault="00A851F7">
      <w:pPr>
        <w:pStyle w:val="Heading4"/>
        <w:rPr>
          <w:rFonts w:cs="Arial"/>
          <w:color w:val="auto"/>
        </w:rPr>
      </w:pPr>
      <w:r>
        <w:rPr>
          <w:rFonts w:cs="Arial"/>
          <w:color w:val="auto"/>
        </w:rPr>
        <w:t xml:space="preserve">Students on the programme are </w:t>
      </w:r>
      <w:r>
        <w:rPr>
          <w:rFonts w:cs="Arial"/>
          <w:color w:val="auto"/>
          <w:spacing w:val="-1"/>
        </w:rPr>
        <w:t>p</w:t>
      </w:r>
      <w:r>
        <w:rPr>
          <w:rFonts w:cs="Arial"/>
          <w:color w:val="auto"/>
        </w:rPr>
        <w:t>e</w:t>
      </w:r>
      <w:r>
        <w:rPr>
          <w:rFonts w:cs="Arial"/>
          <w:color w:val="auto"/>
          <w:spacing w:val="-3"/>
        </w:rPr>
        <w:t>r</w:t>
      </w:r>
      <w:r>
        <w:rPr>
          <w:rFonts w:cs="Arial"/>
          <w:color w:val="auto"/>
          <w:spacing w:val="1"/>
        </w:rPr>
        <w:t>m</w:t>
      </w:r>
      <w:r>
        <w:rPr>
          <w:rFonts w:cs="Arial"/>
          <w:color w:val="auto"/>
          <w:spacing w:val="-1"/>
        </w:rPr>
        <w:t>i</w:t>
      </w:r>
      <w:r>
        <w:rPr>
          <w:rFonts w:cs="Arial"/>
          <w:color w:val="auto"/>
          <w:spacing w:val="-2"/>
        </w:rPr>
        <w:t>t</w:t>
      </w:r>
      <w:r>
        <w:rPr>
          <w:rFonts w:cs="Arial"/>
          <w:color w:val="auto"/>
        </w:rPr>
        <w:t>ted</w:t>
      </w:r>
      <w:r>
        <w:rPr>
          <w:rFonts w:cs="Arial"/>
          <w:color w:val="auto"/>
          <w:spacing w:val="32"/>
        </w:rPr>
        <w:t xml:space="preserve"> </w:t>
      </w:r>
      <w:r>
        <w:rPr>
          <w:rFonts w:cs="Arial"/>
          <w:color w:val="auto"/>
          <w:spacing w:val="-3"/>
        </w:rPr>
        <w:t>r</w:t>
      </w:r>
      <w:r>
        <w:rPr>
          <w:rFonts w:cs="Arial"/>
          <w:color w:val="auto"/>
        </w:rPr>
        <w:t>e</w:t>
      </w:r>
      <w:r>
        <w:rPr>
          <w:rFonts w:cs="Arial"/>
          <w:color w:val="auto"/>
          <w:spacing w:val="-3"/>
        </w:rPr>
        <w:t>a</w:t>
      </w:r>
      <w:r>
        <w:rPr>
          <w:rFonts w:cs="Arial"/>
          <w:color w:val="auto"/>
          <w:spacing w:val="-1"/>
        </w:rPr>
        <w:t>ss</w:t>
      </w:r>
      <w:r>
        <w:rPr>
          <w:rFonts w:cs="Arial"/>
          <w:color w:val="auto"/>
        </w:rPr>
        <w:t>es</w:t>
      </w:r>
      <w:r>
        <w:rPr>
          <w:rFonts w:cs="Arial"/>
          <w:color w:val="auto"/>
          <w:spacing w:val="-3"/>
        </w:rPr>
        <w:t>s</w:t>
      </w:r>
      <w:r>
        <w:rPr>
          <w:rFonts w:cs="Arial"/>
          <w:color w:val="auto"/>
          <w:spacing w:val="1"/>
        </w:rPr>
        <w:t>m</w:t>
      </w:r>
      <w:r>
        <w:rPr>
          <w:rFonts w:cs="Arial"/>
          <w:color w:val="auto"/>
        </w:rPr>
        <w:t>e</w:t>
      </w:r>
      <w:r>
        <w:rPr>
          <w:rFonts w:cs="Arial"/>
          <w:color w:val="auto"/>
          <w:spacing w:val="-1"/>
        </w:rPr>
        <w:t>n</w:t>
      </w:r>
      <w:r>
        <w:rPr>
          <w:rFonts w:cs="Arial"/>
          <w:color w:val="auto"/>
        </w:rPr>
        <w:t>t</w:t>
      </w:r>
      <w:r>
        <w:rPr>
          <w:rFonts w:cs="Arial"/>
          <w:color w:val="auto"/>
          <w:spacing w:val="32"/>
        </w:rPr>
        <w:t xml:space="preserve"> </w:t>
      </w:r>
      <w:r>
        <w:rPr>
          <w:rFonts w:cs="Arial"/>
          <w:color w:val="auto"/>
          <w:spacing w:val="1"/>
        </w:rPr>
        <w:t>o</w:t>
      </w:r>
      <w:r>
        <w:rPr>
          <w:rFonts w:cs="Arial"/>
          <w:color w:val="auto"/>
          <w:spacing w:val="-1"/>
        </w:rPr>
        <w:t>pp</w:t>
      </w:r>
      <w:r>
        <w:rPr>
          <w:rFonts w:cs="Arial"/>
          <w:color w:val="auto"/>
          <w:spacing w:val="-2"/>
        </w:rPr>
        <w:t>o</w:t>
      </w:r>
      <w:r>
        <w:rPr>
          <w:rFonts w:cs="Arial"/>
          <w:color w:val="auto"/>
          <w:spacing w:val="-1"/>
        </w:rPr>
        <w:t>r</w:t>
      </w:r>
      <w:r>
        <w:rPr>
          <w:rFonts w:cs="Arial"/>
          <w:color w:val="auto"/>
        </w:rPr>
        <w:t>t</w:t>
      </w:r>
      <w:r>
        <w:rPr>
          <w:rFonts w:cs="Arial"/>
          <w:color w:val="auto"/>
          <w:spacing w:val="-1"/>
        </w:rPr>
        <w:t>uni</w:t>
      </w:r>
      <w:r>
        <w:rPr>
          <w:rFonts w:cs="Arial"/>
          <w:color w:val="auto"/>
        </w:rPr>
        <w:t>t</w:t>
      </w:r>
      <w:r>
        <w:rPr>
          <w:rFonts w:cs="Arial"/>
          <w:color w:val="auto"/>
          <w:spacing w:val="-1"/>
        </w:rPr>
        <w:t>i</w:t>
      </w:r>
      <w:r>
        <w:rPr>
          <w:rFonts w:cs="Arial"/>
          <w:color w:val="auto"/>
        </w:rPr>
        <w:t>es</w:t>
      </w:r>
      <w:r>
        <w:rPr>
          <w:rFonts w:cs="Arial"/>
          <w:color w:val="auto"/>
          <w:spacing w:val="32"/>
        </w:rPr>
        <w:t xml:space="preserve"> </w:t>
      </w:r>
      <w:r>
        <w:rPr>
          <w:rFonts w:cs="Arial"/>
          <w:color w:val="auto"/>
          <w:spacing w:val="-2"/>
        </w:rPr>
        <w:t>t</w:t>
      </w:r>
      <w:r>
        <w:rPr>
          <w:rFonts w:cs="Arial"/>
          <w:color w:val="auto"/>
        </w:rPr>
        <w:t>o</w:t>
      </w:r>
      <w:r>
        <w:rPr>
          <w:rFonts w:cs="Arial"/>
          <w:color w:val="auto"/>
          <w:spacing w:val="35"/>
        </w:rPr>
        <w:t xml:space="preserve"> </w:t>
      </w:r>
      <w:r>
        <w:rPr>
          <w:rFonts w:cs="Arial"/>
          <w:color w:val="auto"/>
        </w:rPr>
        <w:t>a</w:t>
      </w:r>
      <w:r>
        <w:rPr>
          <w:rFonts w:cs="Arial"/>
          <w:color w:val="auto"/>
          <w:spacing w:val="31"/>
        </w:rPr>
        <w:t xml:space="preserve"> </w:t>
      </w:r>
      <w:r>
        <w:rPr>
          <w:rFonts w:cs="Arial"/>
          <w:color w:val="auto"/>
          <w:spacing w:val="1"/>
        </w:rPr>
        <w:t>m</w:t>
      </w:r>
      <w:r>
        <w:rPr>
          <w:rFonts w:cs="Arial"/>
          <w:color w:val="auto"/>
          <w:spacing w:val="-1"/>
        </w:rPr>
        <w:t>a</w:t>
      </w:r>
      <w:r>
        <w:rPr>
          <w:rFonts w:cs="Arial"/>
          <w:color w:val="auto"/>
        </w:rPr>
        <w:t>x</w:t>
      </w:r>
      <w:r>
        <w:rPr>
          <w:rFonts w:cs="Arial"/>
          <w:color w:val="auto"/>
          <w:spacing w:val="-3"/>
        </w:rPr>
        <w:t>i</w:t>
      </w:r>
      <w:r>
        <w:rPr>
          <w:rFonts w:cs="Arial"/>
          <w:color w:val="auto"/>
          <w:spacing w:val="1"/>
        </w:rPr>
        <w:t>m</w:t>
      </w:r>
      <w:r>
        <w:rPr>
          <w:rFonts w:cs="Arial"/>
          <w:color w:val="auto"/>
          <w:spacing w:val="-4"/>
        </w:rPr>
        <w:t>u</w:t>
      </w:r>
      <w:r>
        <w:rPr>
          <w:rFonts w:cs="Arial"/>
          <w:color w:val="auto"/>
        </w:rPr>
        <w:t>m</w:t>
      </w:r>
      <w:r>
        <w:rPr>
          <w:rFonts w:cs="Arial"/>
          <w:color w:val="auto"/>
          <w:spacing w:val="33"/>
        </w:rPr>
        <w:t xml:space="preserve"> </w:t>
      </w:r>
      <w:r>
        <w:rPr>
          <w:rFonts w:cs="Arial"/>
          <w:color w:val="auto"/>
          <w:spacing w:val="1"/>
        </w:rPr>
        <w:t>o</w:t>
      </w:r>
      <w:r>
        <w:rPr>
          <w:rFonts w:cs="Arial"/>
          <w:color w:val="auto"/>
        </w:rPr>
        <w:t>f</w:t>
      </w:r>
      <w:r>
        <w:rPr>
          <w:rFonts w:cs="Arial"/>
          <w:color w:val="auto"/>
          <w:spacing w:val="34"/>
        </w:rPr>
        <w:t xml:space="preserve"> </w:t>
      </w:r>
      <w:r>
        <w:rPr>
          <w:rFonts w:cs="Arial"/>
          <w:color w:val="auto"/>
          <w:spacing w:val="-2"/>
        </w:rPr>
        <w:t>9</w:t>
      </w:r>
      <w:r>
        <w:rPr>
          <w:rFonts w:cs="Arial"/>
          <w:color w:val="auto"/>
        </w:rPr>
        <w:t>0</w:t>
      </w:r>
      <w:r>
        <w:rPr>
          <w:rFonts w:cs="Arial"/>
          <w:color w:val="auto"/>
          <w:spacing w:val="34"/>
        </w:rPr>
        <w:t xml:space="preserve"> </w:t>
      </w:r>
      <w:r>
        <w:rPr>
          <w:rFonts w:cs="Arial"/>
          <w:color w:val="auto"/>
          <w:spacing w:val="-3"/>
        </w:rPr>
        <w:t>c</w:t>
      </w:r>
      <w:r>
        <w:rPr>
          <w:rFonts w:cs="Arial"/>
          <w:color w:val="auto"/>
          <w:spacing w:val="-1"/>
        </w:rPr>
        <w:t>r</w:t>
      </w:r>
      <w:r>
        <w:rPr>
          <w:rFonts w:cs="Arial"/>
          <w:color w:val="auto"/>
        </w:rPr>
        <w:t>e</w:t>
      </w:r>
      <w:r>
        <w:rPr>
          <w:rFonts w:cs="Arial"/>
          <w:color w:val="auto"/>
          <w:spacing w:val="-1"/>
        </w:rPr>
        <w:t>d</w:t>
      </w:r>
      <w:r>
        <w:rPr>
          <w:rFonts w:cs="Arial"/>
          <w:color w:val="auto"/>
          <w:spacing w:val="-3"/>
        </w:rPr>
        <w:t>i</w:t>
      </w:r>
      <w:r>
        <w:rPr>
          <w:rFonts w:cs="Arial"/>
          <w:color w:val="auto"/>
        </w:rPr>
        <w:t>ts</w:t>
      </w:r>
      <w:r>
        <w:rPr>
          <w:rFonts w:cs="Arial"/>
          <w:color w:val="auto"/>
          <w:spacing w:val="34"/>
        </w:rPr>
        <w:t xml:space="preserve"> </w:t>
      </w:r>
      <w:r>
        <w:rPr>
          <w:rFonts w:cs="Arial"/>
          <w:color w:val="auto"/>
          <w:spacing w:val="-1"/>
        </w:rPr>
        <w:t>a</w:t>
      </w:r>
      <w:r>
        <w:rPr>
          <w:rFonts w:cs="Arial"/>
          <w:color w:val="auto"/>
        </w:rPr>
        <w:t>t</w:t>
      </w:r>
      <w:r>
        <w:rPr>
          <w:rFonts w:cs="Arial"/>
          <w:color w:val="auto"/>
          <w:spacing w:val="32"/>
        </w:rPr>
        <w:t xml:space="preserve"> </w:t>
      </w:r>
      <w:r>
        <w:rPr>
          <w:rFonts w:cs="Arial"/>
          <w:color w:val="auto"/>
        </w:rPr>
        <w:t>e</w:t>
      </w:r>
      <w:r>
        <w:rPr>
          <w:rFonts w:cs="Arial"/>
          <w:color w:val="auto"/>
          <w:spacing w:val="-1"/>
        </w:rPr>
        <w:t>a</w:t>
      </w:r>
      <w:r>
        <w:rPr>
          <w:rFonts w:cs="Arial"/>
          <w:color w:val="auto"/>
        </w:rPr>
        <w:t>ch</w:t>
      </w:r>
      <w:r>
        <w:rPr>
          <w:rFonts w:cs="Arial"/>
          <w:color w:val="auto"/>
          <w:spacing w:val="33"/>
        </w:rPr>
        <w:t xml:space="preserve"> </w:t>
      </w:r>
      <w:r>
        <w:rPr>
          <w:rFonts w:cs="Arial"/>
          <w:color w:val="auto"/>
          <w:spacing w:val="-1"/>
        </w:rPr>
        <w:t>a</w:t>
      </w:r>
      <w:r>
        <w:rPr>
          <w:rFonts w:cs="Arial"/>
          <w:color w:val="auto"/>
          <w:spacing w:val="-3"/>
        </w:rPr>
        <w:t>c</w:t>
      </w:r>
      <w:r>
        <w:rPr>
          <w:rFonts w:cs="Arial"/>
          <w:color w:val="auto"/>
          <w:spacing w:val="-1"/>
        </w:rPr>
        <w:t>ad</w:t>
      </w:r>
      <w:r>
        <w:rPr>
          <w:rFonts w:cs="Arial"/>
          <w:color w:val="auto"/>
          <w:spacing w:val="-2"/>
        </w:rPr>
        <w:t>e</w:t>
      </w:r>
      <w:r>
        <w:rPr>
          <w:rFonts w:cs="Arial"/>
          <w:color w:val="auto"/>
          <w:spacing w:val="1"/>
        </w:rPr>
        <w:t>m</w:t>
      </w:r>
      <w:r>
        <w:rPr>
          <w:rFonts w:cs="Arial"/>
          <w:color w:val="auto"/>
          <w:spacing w:val="-1"/>
        </w:rPr>
        <w:t>i</w:t>
      </w:r>
      <w:r>
        <w:rPr>
          <w:rFonts w:cs="Arial"/>
          <w:color w:val="auto"/>
        </w:rPr>
        <w:t xml:space="preserve">c </w:t>
      </w:r>
      <w:r>
        <w:rPr>
          <w:rFonts w:cs="Arial"/>
          <w:color w:val="auto"/>
          <w:spacing w:val="-1"/>
        </w:rPr>
        <w:t>l</w:t>
      </w:r>
      <w:r>
        <w:rPr>
          <w:rFonts w:cs="Arial"/>
          <w:color w:val="auto"/>
        </w:rPr>
        <w:t>eve</w:t>
      </w:r>
      <w:r>
        <w:rPr>
          <w:rFonts w:cs="Arial"/>
          <w:color w:val="auto"/>
          <w:spacing w:val="-1"/>
        </w:rPr>
        <w:t>l</w:t>
      </w:r>
      <w:r>
        <w:rPr>
          <w:rFonts w:cs="Arial"/>
          <w:color w:val="auto"/>
        </w:rPr>
        <w:t>,</w:t>
      </w:r>
      <w:r>
        <w:rPr>
          <w:rFonts w:cs="Arial"/>
          <w:color w:val="auto"/>
          <w:spacing w:val="-2"/>
        </w:rPr>
        <w:t xml:space="preserve"> </w:t>
      </w:r>
      <w:r>
        <w:rPr>
          <w:rFonts w:cs="Arial"/>
          <w:color w:val="auto"/>
          <w:spacing w:val="-1"/>
        </w:rPr>
        <w:t>i</w:t>
      </w:r>
      <w:r>
        <w:rPr>
          <w:rFonts w:cs="Arial"/>
          <w:color w:val="auto"/>
        </w:rPr>
        <w:t>n</w:t>
      </w:r>
      <w:r>
        <w:rPr>
          <w:rFonts w:cs="Arial"/>
          <w:color w:val="auto"/>
          <w:spacing w:val="-1"/>
        </w:rPr>
        <w:t xml:space="preserve"> an</w:t>
      </w:r>
      <w:r>
        <w:rPr>
          <w:rFonts w:cs="Arial"/>
          <w:color w:val="auto"/>
        </w:rPr>
        <w:t>y</w:t>
      </w:r>
      <w:r>
        <w:rPr>
          <w:rFonts w:cs="Arial"/>
          <w:color w:val="auto"/>
          <w:spacing w:val="1"/>
        </w:rPr>
        <w:t xml:space="preserve"> </w:t>
      </w:r>
      <w:r>
        <w:rPr>
          <w:rFonts w:cs="Arial"/>
          <w:color w:val="auto"/>
          <w:spacing w:val="-4"/>
        </w:rPr>
        <w:t>p</w:t>
      </w:r>
      <w:r>
        <w:rPr>
          <w:rFonts w:cs="Arial"/>
          <w:color w:val="auto"/>
        </w:rPr>
        <w:t>e</w:t>
      </w:r>
      <w:r>
        <w:rPr>
          <w:rFonts w:cs="Arial"/>
          <w:color w:val="auto"/>
          <w:spacing w:val="-1"/>
        </w:rPr>
        <w:t>r</w:t>
      </w:r>
      <w:r>
        <w:rPr>
          <w:rFonts w:cs="Arial"/>
          <w:color w:val="auto"/>
          <w:spacing w:val="1"/>
        </w:rPr>
        <w:t>m</w:t>
      </w:r>
      <w:r>
        <w:rPr>
          <w:rFonts w:cs="Arial"/>
          <w:color w:val="auto"/>
          <w:spacing w:val="-4"/>
        </w:rPr>
        <w:t>u</w:t>
      </w:r>
      <w:r>
        <w:rPr>
          <w:rFonts w:cs="Arial"/>
          <w:color w:val="auto"/>
        </w:rPr>
        <w:t>t</w:t>
      </w:r>
      <w:r>
        <w:rPr>
          <w:rFonts w:cs="Arial"/>
          <w:color w:val="auto"/>
          <w:spacing w:val="-1"/>
        </w:rPr>
        <w:t>a</w:t>
      </w:r>
      <w:r>
        <w:rPr>
          <w:rFonts w:cs="Arial"/>
          <w:color w:val="auto"/>
        </w:rPr>
        <w:t>t</w:t>
      </w:r>
      <w:r>
        <w:rPr>
          <w:rFonts w:cs="Arial"/>
          <w:color w:val="auto"/>
          <w:spacing w:val="-3"/>
        </w:rPr>
        <w:t>i</w:t>
      </w:r>
      <w:r>
        <w:rPr>
          <w:rFonts w:cs="Arial"/>
          <w:color w:val="auto"/>
          <w:spacing w:val="1"/>
        </w:rPr>
        <w:t>o</w:t>
      </w:r>
      <w:r>
        <w:rPr>
          <w:rFonts w:cs="Arial"/>
          <w:color w:val="auto"/>
        </w:rPr>
        <w:t>n</w:t>
      </w:r>
      <w:r>
        <w:rPr>
          <w:rFonts w:cs="Arial"/>
          <w:color w:val="auto"/>
          <w:spacing w:val="-1"/>
        </w:rPr>
        <w:t xml:space="preserve"> </w:t>
      </w:r>
      <w:r>
        <w:rPr>
          <w:rFonts w:cs="Arial"/>
          <w:color w:val="auto"/>
          <w:spacing w:val="-2"/>
        </w:rPr>
        <w:t>o</w:t>
      </w:r>
      <w:r>
        <w:rPr>
          <w:rFonts w:cs="Arial"/>
          <w:color w:val="auto"/>
        </w:rPr>
        <w:t>r c</w:t>
      </w:r>
      <w:r>
        <w:rPr>
          <w:rFonts w:cs="Arial"/>
          <w:color w:val="auto"/>
          <w:spacing w:val="-2"/>
        </w:rPr>
        <w:t>o</w:t>
      </w:r>
      <w:r>
        <w:rPr>
          <w:rFonts w:cs="Arial"/>
          <w:color w:val="auto"/>
          <w:spacing w:val="1"/>
        </w:rPr>
        <w:t>m</w:t>
      </w:r>
      <w:r>
        <w:rPr>
          <w:rFonts w:cs="Arial"/>
          <w:color w:val="auto"/>
          <w:spacing w:val="-1"/>
        </w:rPr>
        <w:t>bina</w:t>
      </w:r>
      <w:r>
        <w:rPr>
          <w:rFonts w:cs="Arial"/>
          <w:color w:val="auto"/>
        </w:rPr>
        <w:t>t</w:t>
      </w:r>
      <w:r>
        <w:rPr>
          <w:rFonts w:cs="Arial"/>
          <w:color w:val="auto"/>
          <w:spacing w:val="-3"/>
        </w:rPr>
        <w:t>i</w:t>
      </w:r>
      <w:r>
        <w:rPr>
          <w:rFonts w:cs="Arial"/>
          <w:color w:val="auto"/>
          <w:spacing w:val="1"/>
        </w:rPr>
        <w:t>o</w:t>
      </w:r>
      <w:r>
        <w:rPr>
          <w:rFonts w:cs="Arial"/>
          <w:color w:val="auto"/>
        </w:rPr>
        <w:t>n</w:t>
      </w:r>
      <w:r>
        <w:rPr>
          <w:rFonts w:cs="Arial"/>
          <w:color w:val="auto"/>
          <w:spacing w:val="-1"/>
        </w:rPr>
        <w:t xml:space="preserve"> </w:t>
      </w:r>
      <w:r>
        <w:rPr>
          <w:rFonts w:cs="Arial"/>
          <w:color w:val="auto"/>
          <w:spacing w:val="1"/>
        </w:rPr>
        <w:t>o</w:t>
      </w:r>
      <w:r>
        <w:rPr>
          <w:rFonts w:cs="Arial"/>
          <w:color w:val="auto"/>
        </w:rPr>
        <w:t>f</w:t>
      </w:r>
      <w:r>
        <w:rPr>
          <w:rFonts w:cs="Arial"/>
          <w:color w:val="auto"/>
          <w:spacing w:val="-3"/>
        </w:rPr>
        <w:t xml:space="preserve"> </w:t>
      </w:r>
      <w:r>
        <w:rPr>
          <w:rFonts w:cs="Arial"/>
          <w:color w:val="auto"/>
          <w:spacing w:val="-2"/>
        </w:rPr>
        <w:t>m</w:t>
      </w:r>
      <w:r>
        <w:rPr>
          <w:rFonts w:cs="Arial"/>
          <w:color w:val="auto"/>
          <w:spacing w:val="1"/>
        </w:rPr>
        <w:t>o</w:t>
      </w:r>
      <w:r>
        <w:rPr>
          <w:rFonts w:cs="Arial"/>
          <w:color w:val="auto"/>
          <w:spacing w:val="-1"/>
        </w:rPr>
        <w:t>dul</w:t>
      </w:r>
      <w:r>
        <w:rPr>
          <w:rFonts w:cs="Arial"/>
          <w:color w:val="auto"/>
        </w:rPr>
        <w:t>e</w:t>
      </w:r>
      <w:r>
        <w:rPr>
          <w:rFonts w:cs="Arial"/>
          <w:color w:val="auto"/>
          <w:spacing w:val="-2"/>
        </w:rPr>
        <w:t xml:space="preserve"> </w:t>
      </w:r>
      <w:r>
        <w:rPr>
          <w:rFonts w:cs="Arial"/>
          <w:color w:val="auto"/>
          <w:spacing w:val="-1"/>
        </w:rPr>
        <w:t>siz</w:t>
      </w:r>
      <w:r>
        <w:rPr>
          <w:rFonts w:cs="Arial"/>
          <w:color w:val="auto"/>
        </w:rPr>
        <w:t>e</w:t>
      </w:r>
      <w:r>
        <w:rPr>
          <w:rFonts w:cs="Arial"/>
          <w:color w:val="auto"/>
          <w:spacing w:val="-1"/>
        </w:rPr>
        <w:t>s</w:t>
      </w:r>
      <w:r>
        <w:rPr>
          <w:rFonts w:cs="Arial"/>
          <w:color w:val="auto"/>
        </w:rPr>
        <w:t xml:space="preserve">. </w:t>
      </w:r>
    </w:p>
    <w:p w:rsidR="00F26B8E" w:rsidP="00F26B8E" w:rsidRDefault="00F26B8E"/>
    <w:p w:rsidR="00F26B8E" w:rsidP="00F26B8E" w:rsidRDefault="00F26B8E">
      <w:pPr>
        <w:autoSpaceDE w:val="0"/>
        <w:autoSpaceDN w:val="0"/>
        <w:adjustRightInd w:val="0"/>
        <w:ind w:left="567" w:hanging="567"/>
        <w:rPr>
          <w:rFonts w:cs="ArialMT"/>
        </w:rPr>
      </w:pPr>
      <w:r>
        <w:rPr>
          <w:rFonts w:cs="ArialMT"/>
        </w:rPr>
        <w:t xml:space="preserve">Reassessments for OSCE stations would result in capping the individual component (OSCE </w:t>
      </w:r>
    </w:p>
    <w:p w:rsidRPr="0064694D" w:rsidR="00F26B8E" w:rsidP="00F26B8E" w:rsidRDefault="00F26B8E">
      <w:pPr>
        <w:autoSpaceDE w:val="0"/>
        <w:autoSpaceDN w:val="0"/>
        <w:adjustRightInd w:val="0"/>
        <w:ind w:left="567" w:hanging="567"/>
        <w:rPr>
          <w:rFonts w:cs="ArialMT"/>
        </w:rPr>
      </w:pPr>
      <w:r w:rsidRPr="0064694D">
        <w:rPr>
          <w:rFonts w:cs="ArialMT"/>
        </w:rPr>
        <w:t>station) mark, not the whole module mark</w:t>
      </w:r>
      <w:bookmarkStart w:name="_Toc507515657" w:id="15"/>
      <w:bookmarkEnd w:id="15"/>
    </w:p>
    <w:p w:rsidRPr="0064694D" w:rsidR="0064694D" w:rsidP="00F26B8E" w:rsidRDefault="0064694D">
      <w:pPr>
        <w:autoSpaceDE w:val="0"/>
        <w:autoSpaceDN w:val="0"/>
        <w:adjustRightInd w:val="0"/>
        <w:ind w:left="567" w:hanging="567"/>
      </w:pPr>
    </w:p>
    <w:p w:rsidRPr="0064694D" w:rsidR="0064694D" w:rsidP="0064694D" w:rsidRDefault="0064694D">
      <w:pPr>
        <w:autoSpaceDE w:val="0"/>
        <w:autoSpaceDN w:val="0"/>
        <w:adjustRightInd w:val="0"/>
        <w:rPr>
          <w:rFonts w:cs="Arial"/>
          <w:color w:val="000000"/>
        </w:rPr>
      </w:pPr>
      <w:r w:rsidRPr="0064694D">
        <w:rPr>
          <w:rFonts w:cs="Arial"/>
          <w:color w:val="000000"/>
        </w:rPr>
        <w:t xml:space="preserve">Two fails in professional value assessments within one year, or two consecutive failed professional values assessments will lead to discontinuation from the programme </w:t>
      </w:r>
    </w:p>
    <w:p w:rsidRPr="0064694D" w:rsidR="0064694D" w:rsidP="0064694D" w:rsidRDefault="0064694D">
      <w:pPr>
        <w:autoSpaceDE w:val="0"/>
        <w:autoSpaceDN w:val="0"/>
        <w:adjustRightInd w:val="0"/>
        <w:rPr>
          <w:rFonts w:cs="Arial"/>
          <w:color w:val="000000"/>
        </w:rPr>
      </w:pPr>
    </w:p>
    <w:p w:rsidRPr="001B3149" w:rsidR="0064694D" w:rsidP="0064694D" w:rsidRDefault="0064694D">
      <w:pPr>
        <w:pStyle w:val="Heading4"/>
      </w:pPr>
      <w:r w:rsidRPr="001B3149">
        <w:t xml:space="preserve">Undergraduate awards </w:t>
      </w:r>
    </w:p>
    <w:p w:rsidRPr="00033152" w:rsidR="0064694D" w:rsidP="0064694D" w:rsidRDefault="0064694D">
      <w:pPr>
        <w:autoSpaceDE w:val="0"/>
        <w:autoSpaceDN w:val="0"/>
        <w:adjustRightInd w:val="0"/>
        <w:rPr>
          <w:rFonts w:cs="Arial"/>
          <w:color w:val="000000"/>
          <w:highlight w:val="yellow"/>
        </w:rPr>
      </w:pPr>
    </w:p>
    <w:p w:rsidRPr="00033152" w:rsidR="0064694D" w:rsidP="0064694D" w:rsidRDefault="0064694D">
      <w:pPr>
        <w:autoSpaceDE w:val="0"/>
        <w:autoSpaceDN w:val="0"/>
        <w:adjustRightInd w:val="0"/>
        <w:rPr>
          <w:rFonts w:cs="Arial"/>
          <w:color w:val="000000"/>
        </w:rPr>
      </w:pPr>
      <w:r w:rsidRPr="00BE758B">
        <w:rPr>
          <w:rFonts w:cs="Arial"/>
          <w:color w:val="000000"/>
        </w:rPr>
        <w:t>If a student fails to achieve the Paramedicine with HCPC registration qualification, any exit award will follow the university’s generic academic regulations and will lead to an award in Health-Related Studies. Exit awards are not recognised for registration purposes by the HCPC.</w:t>
      </w:r>
      <w:r w:rsidRPr="0064694D">
        <w:rPr>
          <w:rFonts w:cs="Arial"/>
          <w:color w:val="000000"/>
        </w:rPr>
        <w:t xml:space="preserve"> </w:t>
      </w:r>
    </w:p>
    <w:p w:rsidR="0064694D" w:rsidP="0064694D" w:rsidRDefault="0064694D">
      <w:pPr>
        <w:autoSpaceDE w:val="0"/>
        <w:autoSpaceDN w:val="0"/>
        <w:adjustRightInd w:val="0"/>
        <w:rPr>
          <w:rFonts w:cs="Arial"/>
          <w:color w:val="000000"/>
        </w:rPr>
      </w:pPr>
    </w:p>
    <w:p w:rsidR="0064694D" w:rsidP="0064694D" w:rsidRDefault="0064694D">
      <w:pPr>
        <w:autoSpaceDE w:val="0"/>
        <w:autoSpaceDN w:val="0"/>
        <w:adjustRightInd w:val="0"/>
        <w:rPr>
          <w:rFonts w:cs="Arial"/>
          <w:color w:val="000000"/>
        </w:rPr>
      </w:pPr>
    </w:p>
    <w:p w:rsidR="0064694D" w:rsidP="0064694D" w:rsidRDefault="0064694D">
      <w:pPr>
        <w:pStyle w:val="Heading4"/>
      </w:pPr>
      <w:r>
        <w:t xml:space="preserve">Progression between undergraduate levels of study </w:t>
      </w:r>
    </w:p>
    <w:p w:rsidRPr="0064694D" w:rsidR="0064694D" w:rsidP="0064694D" w:rsidRDefault="0064694D">
      <w:pPr>
        <w:autoSpaceDE w:val="0"/>
        <w:autoSpaceDN w:val="0"/>
        <w:adjustRightInd w:val="0"/>
        <w:ind w:left="567" w:hanging="567"/>
      </w:pPr>
    </w:p>
    <w:p w:rsidRPr="0064694D" w:rsidR="0064694D" w:rsidP="0064694D" w:rsidRDefault="0064694D">
      <w:pPr>
        <w:autoSpaceDE w:val="0"/>
        <w:autoSpaceDN w:val="0"/>
        <w:adjustRightInd w:val="0"/>
        <w:rPr>
          <w:rFonts w:cs="Arial"/>
          <w:color w:val="000000"/>
        </w:rPr>
      </w:pPr>
      <w:r w:rsidRPr="0064694D">
        <w:rPr>
          <w:rFonts w:cs="Arial"/>
          <w:color w:val="000000"/>
        </w:rPr>
        <w:t xml:space="preserve">All essential components of each practice module (Practice experience 1, 2 and 3) must be completed by the end of the academic year and prior to the cohort progression point. If any essential element of the practice module is not achieved, the student will be back grouped to allow a second and final attempt at the module. Where this occurs for third year students, their registration on the programme will be extended to allow an extension to the programme to allow retrieval of required components. </w:t>
      </w:r>
    </w:p>
    <w:p w:rsidRPr="0064694D" w:rsidR="0064694D" w:rsidP="0064694D" w:rsidRDefault="0064694D">
      <w:pPr>
        <w:autoSpaceDE w:val="0"/>
        <w:autoSpaceDN w:val="0"/>
        <w:adjustRightInd w:val="0"/>
        <w:ind w:left="567" w:hanging="567"/>
      </w:pPr>
    </w:p>
    <w:p w:rsidRPr="0064694D" w:rsidR="0064694D" w:rsidP="0064694D" w:rsidRDefault="0064694D">
      <w:pPr>
        <w:pStyle w:val="Default"/>
        <w:rPr>
          <w:rFonts w:asciiTheme="minorHAnsi" w:hAnsiTheme="minorHAnsi"/>
          <w:sz w:val="22"/>
          <w:szCs w:val="22"/>
        </w:rPr>
      </w:pPr>
      <w:r w:rsidRPr="0064694D">
        <w:rPr>
          <w:rFonts w:asciiTheme="minorHAnsi" w:hAnsiTheme="minorHAnsi"/>
          <w:sz w:val="22"/>
          <w:szCs w:val="22"/>
        </w:rPr>
        <w:t xml:space="preserve">The hours recorded on module specifications for practice will be collectively combined across the duration of the students programme to ensure that students are able to achieve the minimum practice hour requirements of the programme. </w:t>
      </w:r>
    </w:p>
    <w:p w:rsidR="0064694D" w:rsidP="0064694D" w:rsidRDefault="0064694D">
      <w:pPr>
        <w:autoSpaceDE w:val="0"/>
        <w:autoSpaceDN w:val="0"/>
        <w:adjustRightInd w:val="0"/>
        <w:rPr>
          <w:rFonts w:cs="Arial"/>
          <w:color w:val="000000"/>
        </w:rPr>
      </w:pPr>
    </w:p>
    <w:p w:rsidR="0064694D" w:rsidP="0064694D" w:rsidRDefault="0064694D">
      <w:pPr>
        <w:autoSpaceDE w:val="0"/>
        <w:autoSpaceDN w:val="0"/>
        <w:adjustRightInd w:val="0"/>
        <w:rPr>
          <w:rFonts w:cs="Arial"/>
          <w:color w:val="000000"/>
        </w:rPr>
      </w:pPr>
    </w:p>
    <w:p w:rsidRPr="00E64C2A" w:rsidR="0064694D" w:rsidP="0064694D" w:rsidRDefault="0064694D">
      <w:pPr>
        <w:pStyle w:val="NoSpacing"/>
        <w:rPr>
          <w:rFonts w:asciiTheme="majorHAnsi" w:hAnsiTheme="majorHAnsi"/>
          <w:i w:val="0"/>
          <w:color w:val="80865A" w:themeColor="accent3" w:themeShade="BF"/>
        </w:rPr>
      </w:pPr>
      <w:r w:rsidRPr="00E64C2A">
        <w:rPr>
          <w:rFonts w:asciiTheme="majorHAnsi" w:hAnsiTheme="majorHAnsi"/>
          <w:i w:val="0"/>
          <w:color w:val="80865A" w:themeColor="accent3" w:themeShade="BF"/>
        </w:rPr>
        <w:t>Other Requirements</w:t>
      </w:r>
    </w:p>
    <w:p w:rsidR="0064694D" w:rsidP="0064694D" w:rsidRDefault="0064694D">
      <w:pPr>
        <w:autoSpaceDE w:val="0"/>
        <w:autoSpaceDN w:val="0"/>
        <w:adjustRightInd w:val="0"/>
        <w:rPr>
          <w:rFonts w:ascii="Arial" w:hAnsi="Arial" w:cs="Arial"/>
          <w:color w:val="000000"/>
        </w:rPr>
      </w:pPr>
    </w:p>
    <w:p w:rsidR="0064694D" w:rsidP="0064694D" w:rsidRDefault="0064694D">
      <w:pPr>
        <w:autoSpaceDE w:val="0"/>
        <w:autoSpaceDN w:val="0"/>
        <w:adjustRightInd w:val="0"/>
        <w:rPr>
          <w:rFonts w:cs="Arial"/>
          <w:color w:val="000000"/>
        </w:rPr>
      </w:pPr>
      <w:r w:rsidRPr="0064694D">
        <w:rPr>
          <w:rFonts w:cs="Arial"/>
          <w:color w:val="000000"/>
        </w:rPr>
        <w:t xml:space="preserve">It is a requirement of the programme that students attend clinical placement. Unauthorised non-attendance in placement will be investigated and may lead to discontinuation from the programme. </w:t>
      </w:r>
    </w:p>
    <w:p w:rsidRPr="0064694D" w:rsidR="0064694D" w:rsidP="0064694D" w:rsidRDefault="0064694D">
      <w:pPr>
        <w:autoSpaceDE w:val="0"/>
        <w:autoSpaceDN w:val="0"/>
        <w:adjustRightInd w:val="0"/>
        <w:rPr>
          <w:rFonts w:cs="Arial"/>
          <w:color w:val="000000"/>
        </w:rPr>
      </w:pPr>
    </w:p>
    <w:p w:rsidR="0064694D" w:rsidP="0064694D" w:rsidRDefault="0064694D">
      <w:pPr>
        <w:autoSpaceDE w:val="0"/>
        <w:autoSpaceDN w:val="0"/>
        <w:adjustRightInd w:val="0"/>
        <w:rPr>
          <w:rFonts w:cs="Arial"/>
          <w:color w:val="000000"/>
        </w:rPr>
      </w:pPr>
      <w:r w:rsidRPr="0064694D">
        <w:rPr>
          <w:rFonts w:cs="Arial"/>
          <w:color w:val="000000"/>
        </w:rPr>
        <w:t xml:space="preserve">Non-submission or non-completion of the professional values assessment following a practice placement will lead to investigation by the programme leader with a record of the outcome being placed on the student file. </w:t>
      </w:r>
    </w:p>
    <w:p w:rsidRPr="0064694D" w:rsidR="0064694D" w:rsidP="0064694D" w:rsidRDefault="0064694D">
      <w:pPr>
        <w:autoSpaceDE w:val="0"/>
        <w:autoSpaceDN w:val="0"/>
        <w:adjustRightInd w:val="0"/>
        <w:rPr>
          <w:rFonts w:cs="Arial"/>
          <w:color w:val="000000"/>
        </w:rPr>
      </w:pPr>
    </w:p>
    <w:p w:rsidRPr="0064694D" w:rsidR="0064694D" w:rsidP="0064694D" w:rsidRDefault="0064694D">
      <w:pPr>
        <w:autoSpaceDE w:val="0"/>
        <w:autoSpaceDN w:val="0"/>
        <w:adjustRightInd w:val="0"/>
        <w:rPr>
          <w:rFonts w:cs="Arial"/>
          <w:color w:val="000000"/>
        </w:rPr>
      </w:pPr>
      <w:r w:rsidRPr="0064694D">
        <w:rPr>
          <w:rFonts w:cs="Arial"/>
          <w:color w:val="000000"/>
        </w:rPr>
        <w:t xml:space="preserve">Two occasions of non-submission or non-completion of the professional values assessment within the programme will lead to submission of a student concern form with investigation by the programme leader, this may lead to fitness to practise investigation. </w:t>
      </w:r>
    </w:p>
    <w:p w:rsidR="0064694D" w:rsidP="00F26B8E" w:rsidRDefault="0064694D">
      <w:pPr>
        <w:autoSpaceDE w:val="0"/>
        <w:autoSpaceDN w:val="0"/>
        <w:adjustRightInd w:val="0"/>
        <w:ind w:left="567" w:hanging="567"/>
      </w:pPr>
    </w:p>
    <w:p w:rsidRPr="00081EE7" w:rsidR="00081EE7" w:rsidP="00081EE7" w:rsidRDefault="00081EE7"/>
    <w:p w:rsidR="00A851F7" w:rsidP="00A851F7" w:rsidRDefault="00A851F7">
      <w:pPr>
        <w:pStyle w:val="Heading3"/>
      </w:pPr>
      <w:r>
        <w:t>Paramedicine BSc (Hons), B95041</w:t>
      </w:r>
    </w:p>
    <w:p w:rsidR="00C6011B" w:rsidP="00C6011B" w:rsidRDefault="00C6011B">
      <w:pPr>
        <w:pStyle w:val="NoSpacing"/>
      </w:pPr>
      <w:r>
        <w:t>Health and Care Professions Council (HCPC)</w:t>
      </w:r>
    </w:p>
    <w:p w:rsidR="00C6011B" w:rsidP="00C6011B" w:rsidRDefault="00C6011B">
      <w:pPr>
        <w:pStyle w:val="NoSpacing"/>
      </w:pPr>
      <w:r>
        <w:t>__________________________________________________________________________________________</w:t>
      </w:r>
    </w:p>
    <w:p w:rsidRPr="00C6011B" w:rsidR="00C6011B" w:rsidP="00C6011B" w:rsidRDefault="00C6011B"/>
    <w:p w:rsidR="00A851F7" w:rsidP="00A851F7" w:rsidRDefault="00A851F7">
      <w:pPr>
        <w:pStyle w:val="Heading4"/>
        <w:rPr>
          <w:rFonts w:cs="Arial"/>
          <w:color w:val="00B050"/>
        </w:rPr>
      </w:pPr>
      <w:r>
        <w:rPr>
          <w:rFonts w:cs="Arial"/>
        </w:rPr>
        <w:t>Assessment</w:t>
      </w:r>
    </w:p>
    <w:p w:rsidR="00A851F7" w:rsidP="00A851F7" w:rsidRDefault="00A851F7">
      <w:pPr>
        <w:pStyle w:val="Heading4"/>
        <w:rPr>
          <w:rFonts w:cs="Arial"/>
          <w:color w:val="auto"/>
        </w:rPr>
      </w:pPr>
      <w:r>
        <w:rPr>
          <w:rFonts w:cs="Arial"/>
          <w:color w:val="auto"/>
        </w:rPr>
        <w:t>PARA3015 Paramedic Clinical Pharmacology Unseen Exam Part 1 (Numeracy) pass threshold of 100%</w:t>
      </w:r>
      <w:r>
        <w:rPr>
          <w:rFonts w:cs="Arial"/>
          <w:color w:val="auto"/>
        </w:rPr>
        <w:br/>
        <w:t>PARA3015 Paramedic Clinical Pharmacology Unseen Exam Part 2 (Pharmacology) pass threshold of 80%</w:t>
      </w:r>
    </w:p>
    <w:p w:rsidR="00351CB3" w:rsidP="000E371B" w:rsidRDefault="00351CB3"/>
    <w:p w:rsidR="001C42AD" w:rsidP="000E371B" w:rsidRDefault="001C42AD"/>
    <w:p w:rsidR="00B47678" w:rsidP="00B47678" w:rsidRDefault="00B47678">
      <w:pPr>
        <w:pStyle w:val="Heading3"/>
      </w:pPr>
      <w:bookmarkStart w:name="_Toc507515648" w:id="16"/>
      <w:r>
        <w:t xml:space="preserve">Pharmacy </w:t>
      </w:r>
      <w:proofErr w:type="spellStart"/>
      <w:r>
        <w:t>MPharm</w:t>
      </w:r>
      <w:proofErr w:type="spellEnd"/>
      <w:r>
        <w:t>, B23044</w:t>
      </w:r>
      <w:bookmarkEnd w:id="16"/>
    </w:p>
    <w:p w:rsidR="00B47678" w:rsidP="00B47678" w:rsidRDefault="00B47678">
      <w:pPr>
        <w:pStyle w:val="NoSpacing"/>
      </w:pPr>
      <w:r>
        <w:t>General Pharmaceutical Council</w:t>
      </w:r>
      <w:r w:rsidR="005A3AC2">
        <w:t xml:space="preserve"> (</w:t>
      </w:r>
      <w:proofErr w:type="spellStart"/>
      <w:r w:rsidR="005A3AC2">
        <w:t>GPhC</w:t>
      </w:r>
      <w:proofErr w:type="spellEnd"/>
      <w:r w:rsidR="005A3AC2">
        <w:t>)</w:t>
      </w:r>
    </w:p>
    <w:p w:rsidR="00B47678" w:rsidP="00B47678" w:rsidRDefault="00B47678">
      <w:pPr>
        <w:pStyle w:val="headingunderline"/>
      </w:pPr>
    </w:p>
    <w:p w:rsidR="00B47678" w:rsidP="00B47678" w:rsidRDefault="0063219B">
      <w:pPr>
        <w:pStyle w:val="Heading4"/>
      </w:pPr>
      <w:r>
        <w:t>Passing a module</w:t>
      </w:r>
      <w:r w:rsidR="008405DD">
        <w:t>/Compensation</w:t>
      </w:r>
    </w:p>
    <w:p w:rsidR="00B47678" w:rsidP="00B47678" w:rsidRDefault="00B47678">
      <w:r>
        <w:t>All core module components must be passed at 40 per cent.</w:t>
      </w:r>
    </w:p>
    <w:p w:rsidR="00B47678" w:rsidP="00B47678" w:rsidRDefault="00B47678"/>
    <w:p w:rsidR="00B47678" w:rsidP="00B47678" w:rsidRDefault="00B47678">
      <w:proofErr w:type="gramStart"/>
      <w:r>
        <w:t>Additionally</w:t>
      </w:r>
      <w:proofErr w:type="gramEnd"/>
      <w:r>
        <w:t xml:space="preserve"> to the above, the pass mark for module components and/or the overall module for PHAR1605, PHAR2605, PHAR3605 and PHAR4604 is greater than 40 per cent. In some </w:t>
      </w:r>
      <w:proofErr w:type="gramStart"/>
      <w:r>
        <w:t>instances</w:t>
      </w:r>
      <w:proofErr w:type="gramEnd"/>
      <w:r>
        <w:t xml:space="preserve"> this is 50 per cent (</w:t>
      </w:r>
      <w:proofErr w:type="spellStart"/>
      <w:r>
        <w:t>eg</w:t>
      </w:r>
      <w:proofErr w:type="spellEnd"/>
      <w:r>
        <w:t xml:space="preserve"> law and dispensing assessments) or 70 per cent (</w:t>
      </w:r>
      <w:proofErr w:type="spellStart"/>
      <w:r>
        <w:t>eg</w:t>
      </w:r>
      <w:proofErr w:type="spellEnd"/>
      <w:r>
        <w:t xml:space="preserve"> calculations assessments). </w:t>
      </w:r>
    </w:p>
    <w:p w:rsidR="00B47678" w:rsidP="00B47678" w:rsidRDefault="00B47678"/>
    <w:p w:rsidR="00B47678" w:rsidP="00B47678" w:rsidRDefault="00B47678">
      <w:r>
        <w:t>All modules must be passed at 40 per cent, apart from PHAR1601, PHAR2601, PHAR3601 and PHAR4601 which are non-credit bearing and have pass/fail components, all of which must be passed.</w:t>
      </w:r>
    </w:p>
    <w:p w:rsidR="00B47678" w:rsidP="00B47678" w:rsidRDefault="00B47678"/>
    <w:p w:rsidR="0063219B" w:rsidP="00B47678" w:rsidRDefault="00B47678">
      <w:r>
        <w:t>No compensation is available.</w:t>
      </w:r>
    </w:p>
    <w:p w:rsidR="00B47678" w:rsidP="00B47678" w:rsidRDefault="00B47678">
      <w:r>
        <w:t xml:space="preserve"> </w:t>
      </w:r>
    </w:p>
    <w:p w:rsidR="008405DD" w:rsidP="008405DD" w:rsidRDefault="008405DD">
      <w:pPr>
        <w:pStyle w:val="Heading4"/>
      </w:pPr>
      <w:r>
        <w:t>Progression between undergraduate levels of study</w:t>
      </w:r>
    </w:p>
    <w:p w:rsidR="00B47678" w:rsidP="00B47678" w:rsidRDefault="00B47678">
      <w:r>
        <w:t>Students must pass all modules before progressing to the next level</w:t>
      </w:r>
      <w:r w:rsidR="0063219B">
        <w:t>.</w:t>
      </w:r>
    </w:p>
    <w:p w:rsidR="00B47678" w:rsidP="00B47678" w:rsidRDefault="00B47678"/>
    <w:p w:rsidR="00B47678" w:rsidP="00B47678" w:rsidRDefault="0063219B">
      <w:pPr>
        <w:pStyle w:val="Heading4"/>
      </w:pPr>
      <w:r>
        <w:t>Maximum period of registration</w:t>
      </w:r>
    </w:p>
    <w:p w:rsidR="00B47678" w:rsidP="00B47678" w:rsidRDefault="00B47678">
      <w:r>
        <w:t>The normal expected duration of the programme is four years and the mode of study is full-time only. The maximum period of registration for the programme is normally six years and the maximum period allowed for studying at any one level is normally two years.</w:t>
      </w:r>
    </w:p>
    <w:p w:rsidR="00B47678" w:rsidP="00B47678" w:rsidRDefault="00B47678"/>
    <w:p w:rsidR="00B47678" w:rsidP="00B47678" w:rsidRDefault="0063219B">
      <w:pPr>
        <w:pStyle w:val="Heading4"/>
      </w:pPr>
      <w:r>
        <w:t>Reassessment of failure</w:t>
      </w:r>
    </w:p>
    <w:p w:rsidR="00B47678" w:rsidP="00B47678" w:rsidRDefault="00B47678">
      <w:r>
        <w:t>A student will have a maximum of 90 credits of reassessment opportunities at each level of study, with the exception of level 7 where a maximum of 60 credits of reassessment opportunities are available. Reassessment opportunities at level 7 are available to a student for 15 months only dating from the first attempt.</w:t>
      </w:r>
    </w:p>
    <w:p w:rsidRPr="00004C44" w:rsidR="00B47678" w:rsidP="00B47678" w:rsidRDefault="00B47678">
      <w:r>
        <w:t xml:space="preserve">Each assessment component of a module can be reassessed independently and students </w:t>
      </w:r>
      <w:r w:rsidRPr="00004C44">
        <w:t>may only be reassessed in each module up to a maximum of two occasions</w:t>
      </w:r>
      <w:r w:rsidRPr="00004C44" w:rsidR="001660CD">
        <w:t xml:space="preserve">, </w:t>
      </w:r>
      <w:r w:rsidRPr="00004C44" w:rsidR="001660CD">
        <w:rPr>
          <w:rFonts w:cs="Arial"/>
          <w:iCs/>
          <w:color w:val="000000"/>
        </w:rPr>
        <w:t>including 0 credit modules.</w:t>
      </w:r>
    </w:p>
    <w:p w:rsidR="00B47678" w:rsidP="00B47678" w:rsidRDefault="00B47678"/>
    <w:p w:rsidR="00B47678" w:rsidP="00B47678" w:rsidRDefault="0063219B">
      <w:pPr>
        <w:pStyle w:val="Heading4"/>
      </w:pPr>
      <w:r>
        <w:t>Repeating an undergraduate level of study</w:t>
      </w:r>
    </w:p>
    <w:p w:rsidR="00B47678" w:rsidP="00B47678" w:rsidRDefault="008405DD">
      <w:r>
        <w:t>Students are not permitted to repeat an undergraduate level of study.</w:t>
      </w:r>
    </w:p>
    <w:p w:rsidR="00B47678" w:rsidP="00B47678" w:rsidRDefault="00B47678"/>
    <w:p w:rsidR="00B47678" w:rsidP="00B47678" w:rsidRDefault="00B47678">
      <w:proofErr w:type="gramStart"/>
      <w:r>
        <w:t>However</w:t>
      </w:r>
      <w:proofErr w:type="gramEnd"/>
      <w:r>
        <w:t xml:space="preserve"> if a repeat year is authorised, the student would have a maximum of two years in which to complete that level of study. The maximum period of registration for the programme would remain at 6 years. </w:t>
      </w:r>
    </w:p>
    <w:p w:rsidR="00B47678" w:rsidP="00B47678" w:rsidRDefault="00B47678"/>
    <w:p w:rsidR="00B47678" w:rsidP="00B47678" w:rsidRDefault="0063219B">
      <w:pPr>
        <w:pStyle w:val="Heading4"/>
      </w:pPr>
      <w:r>
        <w:t xml:space="preserve">Awards of the </w:t>
      </w:r>
      <w:r w:rsidR="008D45EF">
        <w:t>university</w:t>
      </w:r>
    </w:p>
    <w:p w:rsidR="00B47678" w:rsidP="00B47678" w:rsidRDefault="00B47678">
      <w:r>
        <w:t>Failure in more than 60 credits in the final year will lead to the award of a BSc (Hons)</w:t>
      </w:r>
      <w:r w:rsidR="008405DD">
        <w:t xml:space="preserve"> </w:t>
      </w:r>
      <w:r>
        <w:t>in Pharmaceutical Studies.</w:t>
      </w:r>
    </w:p>
    <w:p w:rsidR="00B47678" w:rsidP="00B47678" w:rsidRDefault="00B47678"/>
    <w:p w:rsidR="00B47678" w:rsidP="00B47678" w:rsidRDefault="00B47678">
      <w:r>
        <w:t xml:space="preserve">Classification will be determined by an average of all modules at level 5 amounting to 10 per cent of the overall average for classification with the average of the best 105 credits at level 6 and the best 105 credits at level 7 double-weighted towards level 7 amounting to the remaining 90 per cent. </w:t>
      </w:r>
    </w:p>
    <w:p w:rsidR="00BC6C8E" w:rsidP="00B47678" w:rsidRDefault="00BC6C8E"/>
    <w:p w:rsidRPr="00D83599" w:rsidR="00BC6C8E" w:rsidP="00BC6C8E" w:rsidRDefault="00BC6C8E">
      <w:pPr>
        <w:pStyle w:val="Heading3"/>
      </w:pPr>
      <w:r w:rsidRPr="00D83599">
        <w:t xml:space="preserve">Pharmacy </w:t>
      </w:r>
      <w:proofErr w:type="spellStart"/>
      <w:r w:rsidRPr="00D83599">
        <w:t>MPharm</w:t>
      </w:r>
      <w:proofErr w:type="spellEnd"/>
      <w:r w:rsidRPr="00D83599">
        <w:t>, B23045</w:t>
      </w:r>
    </w:p>
    <w:p w:rsidRPr="00D83599" w:rsidR="00BC6C8E" w:rsidP="00BC6C8E" w:rsidRDefault="00BC6C8E">
      <w:pPr>
        <w:pStyle w:val="NoSpacing"/>
      </w:pPr>
      <w:r w:rsidRPr="00D83599">
        <w:t>General Pharmaceutical Council (</w:t>
      </w:r>
      <w:proofErr w:type="spellStart"/>
      <w:r w:rsidRPr="00D83599">
        <w:t>GPhC</w:t>
      </w:r>
      <w:proofErr w:type="spellEnd"/>
      <w:r w:rsidRPr="00D83599">
        <w:t>)</w:t>
      </w:r>
    </w:p>
    <w:p w:rsidRPr="00D83599" w:rsidR="00BC6C8E" w:rsidP="00BC6C8E" w:rsidRDefault="00BC6C8E">
      <w:pPr>
        <w:pStyle w:val="headingunderline"/>
      </w:pPr>
    </w:p>
    <w:p w:rsidRPr="00D83599" w:rsidR="00BC6C8E" w:rsidP="00BC6C8E" w:rsidRDefault="00BC6C8E">
      <w:pPr>
        <w:pStyle w:val="Heading4"/>
      </w:pPr>
      <w:r w:rsidRPr="00D83599">
        <w:t>Passing a module/Compensation</w:t>
      </w:r>
    </w:p>
    <w:p w:rsidRPr="00D83599" w:rsidR="00BC6C8E" w:rsidP="00BC6C8E" w:rsidRDefault="00BC6C8E">
      <w:r w:rsidRPr="00D83599">
        <w:t>All modules are must-pass. This includes PHAR1701, PHAR2701, PHAR3701, PHAR4701 which are zero-credit (pass/fail) modules. No compensation is available.</w:t>
      </w:r>
    </w:p>
    <w:p w:rsidRPr="00D83599" w:rsidR="00BC6C8E" w:rsidP="00BC6C8E" w:rsidRDefault="00BC6C8E"/>
    <w:p w:rsidRPr="00D83599" w:rsidR="00BC6C8E" w:rsidP="00BC6C8E" w:rsidRDefault="00BC6C8E">
      <w:r w:rsidRPr="00D83599">
        <w:t>All components within all modules are must-pass. This includes the pass/fail components within the zero-credit modules. The pass mark required for each component is stipulated in the individual module specifications.</w:t>
      </w:r>
    </w:p>
    <w:p w:rsidRPr="00D83599" w:rsidR="00BC6C8E" w:rsidP="00BC6C8E" w:rsidRDefault="00BC6C8E"/>
    <w:p w:rsidRPr="00D83599" w:rsidR="00BC6C8E" w:rsidP="00BC6C8E" w:rsidRDefault="00BC6C8E">
      <w:pPr>
        <w:pStyle w:val="Heading4"/>
      </w:pPr>
      <w:r w:rsidRPr="00D83599">
        <w:t>Reassessment of failure</w:t>
      </w:r>
    </w:p>
    <w:p w:rsidRPr="00D83599" w:rsidR="00BC6C8E" w:rsidP="00BC6C8E" w:rsidRDefault="00BC6C8E">
      <w:r w:rsidRPr="00D83599">
        <w:t>A student will have a maximum of 120 credits of reassessment opportunities at each level of study.</w:t>
      </w:r>
    </w:p>
    <w:p w:rsidRPr="00D83599" w:rsidR="00BC6C8E" w:rsidP="00BC6C8E" w:rsidRDefault="00BC6C8E"/>
    <w:p w:rsidRPr="00D83599" w:rsidR="00BC6C8E" w:rsidP="00BC6C8E" w:rsidRDefault="00BC6C8E">
      <w:r w:rsidRPr="00D83599">
        <w:t>Students are entitled to one reassessment only of each module. Failure of multiple module components will be counted as a single module reassessment. The overall module mark will be capped at the pass threshold.</w:t>
      </w:r>
    </w:p>
    <w:p w:rsidRPr="00D83599" w:rsidR="00BC6C8E" w:rsidP="00BC6C8E" w:rsidRDefault="00BC6C8E"/>
    <w:p w:rsidRPr="00D83599" w:rsidR="00BC6C8E" w:rsidP="00BC6C8E" w:rsidRDefault="00BC6C8E">
      <w:pPr>
        <w:pStyle w:val="Heading4"/>
      </w:pPr>
      <w:r w:rsidRPr="00D83599">
        <w:t>Progression between undergraduate levels of study</w:t>
      </w:r>
    </w:p>
    <w:p w:rsidRPr="00D83599" w:rsidR="00BC6C8E" w:rsidP="00BC6C8E" w:rsidRDefault="00BC6C8E">
      <w:r w:rsidRPr="00D83599">
        <w:t>Students must pass all modules before progressing to the next level.</w:t>
      </w:r>
    </w:p>
    <w:p w:rsidRPr="00D83599" w:rsidR="00BC6C8E" w:rsidP="00BC6C8E" w:rsidRDefault="00BC6C8E"/>
    <w:p w:rsidRPr="00D83599" w:rsidR="00BC6C8E" w:rsidP="00BC6C8E" w:rsidRDefault="00BC6C8E">
      <w:pPr>
        <w:pStyle w:val="Heading4"/>
      </w:pPr>
      <w:r w:rsidRPr="00D83599">
        <w:t>Maximum period of registration</w:t>
      </w:r>
    </w:p>
    <w:p w:rsidRPr="00D83599" w:rsidR="00BC6C8E" w:rsidP="00BC6C8E" w:rsidRDefault="00BC6C8E">
      <w:r w:rsidRPr="00D83599">
        <w:t>The normal expected duration of the programme is four years and the mode of study is full-time only. The maximum period of registration for the programme is normally six years and the maximum period allowed for studying at any one level is normally two years.</w:t>
      </w:r>
    </w:p>
    <w:p w:rsidRPr="00D83599" w:rsidR="00BC6C8E" w:rsidP="00BC6C8E" w:rsidRDefault="00BC6C8E">
      <w:pPr>
        <w:rPr>
          <w:color w:val="808080"/>
        </w:rPr>
      </w:pPr>
    </w:p>
    <w:p w:rsidRPr="00D83599" w:rsidR="00BC6C8E" w:rsidP="00BC6C8E" w:rsidRDefault="00BC6C8E">
      <w:pPr>
        <w:pStyle w:val="Heading4"/>
      </w:pPr>
      <w:r w:rsidRPr="00D83599">
        <w:t>Repeating an undergraduate level of study</w:t>
      </w:r>
    </w:p>
    <w:p w:rsidRPr="00D83599" w:rsidR="00BC6C8E" w:rsidP="00BC6C8E" w:rsidRDefault="00BC6C8E">
      <w:r w:rsidRPr="00D83599">
        <w:t>Students are not normally permitted to repeat an undergraduate level of study. However, if a repeat year request is authorised outside of this regulation, students would have a maximum of two years in which to complete that level of study. The maximum period of registration of the programme would remain at six years.</w:t>
      </w:r>
    </w:p>
    <w:p w:rsidRPr="00D83599" w:rsidR="00BC6C8E" w:rsidP="00BC6C8E" w:rsidRDefault="00BC6C8E"/>
    <w:p w:rsidRPr="00D83599" w:rsidR="00BC6C8E" w:rsidP="00BC6C8E" w:rsidRDefault="00BC6C8E">
      <w:pPr>
        <w:pStyle w:val="Heading4"/>
      </w:pPr>
      <w:r w:rsidRPr="00D83599">
        <w:t>Awards of the university</w:t>
      </w:r>
    </w:p>
    <w:p w:rsidRPr="00D83599" w:rsidR="00BC6C8E" w:rsidP="00BC6C8E" w:rsidRDefault="00BC6C8E">
      <w:r w:rsidRPr="00D83599">
        <w:t>Classification will be determined by an average of all modules at level 5 amounting to 10 per cent of the overall average for classification with the average of the best 105 credits at level 6 and the best 105 credits at level 7 double-weighted towards level 7 amounting to the remaining 90 per cent.</w:t>
      </w:r>
    </w:p>
    <w:p w:rsidRPr="00D83599" w:rsidR="00BC6C8E" w:rsidP="00BC6C8E" w:rsidRDefault="00BC6C8E"/>
    <w:p w:rsidRPr="00D83599" w:rsidR="00BC6C8E" w:rsidP="00BC6C8E" w:rsidRDefault="00BC6C8E">
      <w:pPr>
        <w:pStyle w:val="Heading4"/>
      </w:pPr>
      <w:r w:rsidRPr="00D83599">
        <w:t>Exit awards</w:t>
      </w:r>
    </w:p>
    <w:p w:rsidR="00BC6C8E" w:rsidP="00BC6C8E" w:rsidRDefault="00BC6C8E">
      <w:r w:rsidRPr="00D83599">
        <w:t xml:space="preserve">If a student fails to achieve the </w:t>
      </w:r>
      <w:proofErr w:type="spellStart"/>
      <w:r w:rsidRPr="00D83599">
        <w:t>MPharm</w:t>
      </w:r>
      <w:proofErr w:type="spellEnd"/>
      <w:r w:rsidRPr="00D83599">
        <w:t xml:space="preserve"> qualification, any exit award will follow the university’s generic academic regulations and will lead to an award in Pharmaceutical Studies. Exit awards are not recognised for registration purposes by the </w:t>
      </w:r>
      <w:proofErr w:type="spellStart"/>
      <w:r w:rsidRPr="00D83599">
        <w:t>GPhC</w:t>
      </w:r>
      <w:proofErr w:type="spellEnd"/>
      <w:r w:rsidRPr="00D83599">
        <w:t>.</w:t>
      </w:r>
    </w:p>
    <w:p w:rsidR="00B47678" w:rsidP="00B47678" w:rsidRDefault="00B47678"/>
    <w:p w:rsidR="0063219B" w:rsidP="00B47678" w:rsidRDefault="0063219B"/>
    <w:p w:rsidR="00E9400A" w:rsidP="005F3AE7" w:rsidRDefault="00E9400A"/>
    <w:p w:rsidRPr="00D83599" w:rsidR="00E9400A" w:rsidP="00E9400A" w:rsidRDefault="00E9400A">
      <w:pPr>
        <w:pStyle w:val="Heading3"/>
      </w:pPr>
      <w:bookmarkStart w:name="_Toc507515652" w:id="17"/>
      <w:r w:rsidRPr="00D83599">
        <w:t>Practice Nursing BSc/Grad Cert, B70095</w:t>
      </w:r>
      <w:bookmarkEnd w:id="17"/>
    </w:p>
    <w:p w:rsidR="00E9400A" w:rsidP="00E9400A" w:rsidRDefault="00E9400A">
      <w:pPr>
        <w:pStyle w:val="headingunderline"/>
      </w:pPr>
    </w:p>
    <w:p w:rsidR="00E9400A" w:rsidP="00E9400A" w:rsidRDefault="00E9400A">
      <w:pPr>
        <w:pStyle w:val="Heading4"/>
      </w:pPr>
      <w:r>
        <w:t>Introduction to programmes and modules</w:t>
      </w:r>
    </w:p>
    <w:p w:rsidR="00E9400A" w:rsidP="00E9400A" w:rsidRDefault="00E9400A">
      <w:r>
        <w:t>The programme consists of one 60 credit module.</w:t>
      </w:r>
    </w:p>
    <w:p w:rsidR="00E9400A" w:rsidP="00E9400A" w:rsidRDefault="00E9400A"/>
    <w:p w:rsidR="00E9400A" w:rsidP="00E9400A" w:rsidRDefault="00E9400A">
      <w:pPr>
        <w:pStyle w:val="Heading4"/>
      </w:pPr>
      <w:r>
        <w:t>Passing a module/Compensation</w:t>
      </w:r>
    </w:p>
    <w:p w:rsidR="00E9400A" w:rsidP="00E9400A" w:rsidRDefault="00E9400A">
      <w:r>
        <w:t>All essential module components must be passed at 40 per cent. All zero-credit (pass/fail) components must be passed.</w:t>
      </w:r>
      <w:r w:rsidRPr="00FF4CD8">
        <w:t xml:space="preserve"> </w:t>
      </w:r>
      <w:r>
        <w:t>No compensation is available.</w:t>
      </w:r>
    </w:p>
    <w:p w:rsidR="00E9400A" w:rsidP="00E9400A" w:rsidRDefault="00E9400A"/>
    <w:p w:rsidR="00E9400A" w:rsidP="00E9400A" w:rsidRDefault="00E9400A">
      <w:pPr>
        <w:pStyle w:val="Heading4"/>
      </w:pPr>
      <w:r>
        <w:t>Reassessment of failure</w:t>
      </w:r>
    </w:p>
    <w:p w:rsidR="00E9400A" w:rsidP="005F3AE7" w:rsidRDefault="00E9400A">
      <w:r>
        <w:t>60 credits of reassessment are available.</w:t>
      </w:r>
    </w:p>
    <w:p w:rsidR="00B00C74" w:rsidP="00B00C74" w:rsidRDefault="00B00C74"/>
    <w:p w:rsidR="0063219B" w:rsidP="00B47678" w:rsidRDefault="0063219B"/>
    <w:p w:rsidR="00E9400A" w:rsidP="00E9400A" w:rsidRDefault="00E9400A">
      <w:pPr>
        <w:pStyle w:val="Heading3"/>
      </w:pPr>
      <w:bookmarkStart w:name="_Toc507515641" w:id="18"/>
      <w:r>
        <w:t>Professional Clinical Practice BSc (Hons)/BSc/</w:t>
      </w:r>
      <w:proofErr w:type="spellStart"/>
      <w:r>
        <w:t>GradCert</w:t>
      </w:r>
      <w:proofErr w:type="spellEnd"/>
      <w:r>
        <w:t>/</w:t>
      </w:r>
      <w:proofErr w:type="spellStart"/>
      <w:r>
        <w:t>GradDip</w:t>
      </w:r>
      <w:proofErr w:type="spellEnd"/>
      <w:r>
        <w:t>, B70</w:t>
      </w:r>
      <w:bookmarkEnd w:id="18"/>
      <w:r>
        <w:t>241</w:t>
      </w:r>
    </w:p>
    <w:p w:rsidRPr="00BD62D2" w:rsidR="00E9400A" w:rsidP="00E9400A" w:rsidRDefault="00E9400A">
      <w:pPr>
        <w:pStyle w:val="headingunderline"/>
      </w:pPr>
    </w:p>
    <w:p w:rsidR="00E9400A" w:rsidP="00E9400A" w:rsidRDefault="00E9400A">
      <w:pPr>
        <w:pStyle w:val="Heading4"/>
      </w:pPr>
      <w:r>
        <w:t>Passing a module/Compensation</w:t>
      </w:r>
    </w:p>
    <w:p w:rsidR="00E9400A" w:rsidP="00E9400A" w:rsidRDefault="00E9400A">
      <w:r>
        <w:t>All module components must be passed at 40 per cent. All zero-credit (pass/fail) components must be passed.</w:t>
      </w:r>
      <w:r w:rsidRPr="00401F6C">
        <w:t xml:space="preserve"> </w:t>
      </w:r>
      <w:r>
        <w:t>No compensation is available.</w:t>
      </w:r>
    </w:p>
    <w:p w:rsidRPr="00290C24" w:rsidR="00290C24" w:rsidP="00E9400A" w:rsidRDefault="00290C24">
      <w:pPr>
        <w:rPr>
          <w:rFonts w:ascii="Century Gothic" w:hAnsi="Century Gothic"/>
        </w:rPr>
      </w:pPr>
    </w:p>
    <w:p w:rsidRPr="00290C24" w:rsidR="00290C24" w:rsidP="00290C24" w:rsidRDefault="00290C24">
      <w:pPr>
        <w:pStyle w:val="ListParagraph"/>
        <w:numPr>
          <w:ilvl w:val="0"/>
          <w:numId w:val="0"/>
        </w:numPr>
        <w:rPr>
          <w:i/>
          <w:iCs/>
        </w:rPr>
      </w:pPr>
      <w:r w:rsidRPr="00290C24">
        <w:t>Students undertaking PRES 3005 Applied Prescribing Module will have one resit opportunity for each assessment component (the Reflection and the Portfolio).</w:t>
      </w:r>
    </w:p>
    <w:p w:rsidRPr="00290C24" w:rsidR="00290C24" w:rsidP="00290C24" w:rsidRDefault="00290C24">
      <w:pPr>
        <w:pStyle w:val="ListParagraph"/>
        <w:numPr>
          <w:ilvl w:val="0"/>
          <w:numId w:val="0"/>
        </w:numPr>
        <w:rPr>
          <w:i/>
          <w:iCs/>
          <w:highlight w:val="yellow"/>
        </w:rPr>
      </w:pPr>
    </w:p>
    <w:p w:rsidR="00290C24" w:rsidP="00290C24" w:rsidRDefault="00290C24">
      <w:pPr>
        <w:pStyle w:val="ListParagraph"/>
        <w:numPr>
          <w:ilvl w:val="0"/>
          <w:numId w:val="0"/>
        </w:numPr>
        <w:rPr>
          <w:i/>
          <w:iCs/>
        </w:rPr>
      </w:pPr>
      <w:r w:rsidRPr="00290C24">
        <w:t>Students undertaking PRES 3006 Pharmacology for Prescribers will have one re-sit opportunity for both the pharmacology exam and the assignment.</w:t>
      </w:r>
    </w:p>
    <w:p w:rsidRPr="00290C24" w:rsidR="00290C24" w:rsidP="00290C24" w:rsidRDefault="00290C24">
      <w:pPr>
        <w:pStyle w:val="ListParagraph"/>
        <w:numPr>
          <w:ilvl w:val="0"/>
          <w:numId w:val="0"/>
        </w:numPr>
        <w:rPr>
          <w:i/>
          <w:iCs/>
        </w:rPr>
      </w:pPr>
    </w:p>
    <w:p w:rsidR="00290C24" w:rsidP="00290C24" w:rsidRDefault="00290C24">
      <w:pPr>
        <w:pStyle w:val="ListParagraph"/>
        <w:numPr>
          <w:ilvl w:val="0"/>
          <w:numId w:val="0"/>
        </w:numPr>
        <w:rPr>
          <w:i/>
          <w:iCs/>
        </w:rPr>
      </w:pPr>
      <w:r w:rsidRPr="00290C24">
        <w:t>Students undertaking PRES 3006 Pharmacology for Prescribers will have one re-sit opportunity for the numeracy within the module. If the student fails both these attempts they will be allowed one final re-sit opportunity after the exam board.</w:t>
      </w:r>
    </w:p>
    <w:p w:rsidRPr="00290C24" w:rsidR="00290C24" w:rsidP="00290C24" w:rsidRDefault="00290C24">
      <w:pPr>
        <w:pStyle w:val="ListParagraph"/>
        <w:numPr>
          <w:ilvl w:val="0"/>
          <w:numId w:val="0"/>
        </w:numPr>
        <w:rPr>
          <w:i/>
          <w:iCs/>
        </w:rPr>
      </w:pPr>
    </w:p>
    <w:p w:rsidRPr="00290C24" w:rsidR="00290C24" w:rsidP="00290C24" w:rsidRDefault="00290C24">
      <w:pPr>
        <w:pStyle w:val="ListParagraph"/>
        <w:numPr>
          <w:ilvl w:val="0"/>
          <w:numId w:val="0"/>
        </w:numPr>
        <w:rPr>
          <w:i/>
          <w:iCs/>
        </w:rPr>
      </w:pPr>
      <w:r w:rsidRPr="00290C24">
        <w:t>The pass mark for the pharmacology exam in PRES 3006 Pharmacology for Prescribers is 80%</w:t>
      </w:r>
      <w:r>
        <w:t>.</w:t>
      </w:r>
    </w:p>
    <w:p w:rsidR="00290C24" w:rsidP="00290C24" w:rsidRDefault="00290C24">
      <w:pPr>
        <w:pStyle w:val="ListParagraph"/>
        <w:numPr>
          <w:ilvl w:val="0"/>
          <w:numId w:val="0"/>
        </w:numPr>
        <w:rPr>
          <w:i/>
          <w:iCs/>
        </w:rPr>
      </w:pPr>
      <w:r w:rsidRPr="00290C24">
        <w:t>The pass mark for the numeracy exam in PRES 3006 Pharmacology for Prescribers is 100%</w:t>
      </w:r>
      <w:r>
        <w:t>.</w:t>
      </w:r>
    </w:p>
    <w:p w:rsidRPr="00290C24" w:rsidR="00290C24" w:rsidP="00290C24" w:rsidRDefault="00290C24">
      <w:pPr>
        <w:pStyle w:val="ListParagraph"/>
        <w:numPr>
          <w:ilvl w:val="0"/>
          <w:numId w:val="0"/>
        </w:numPr>
        <w:rPr>
          <w:i/>
          <w:iCs/>
        </w:rPr>
      </w:pPr>
    </w:p>
    <w:p w:rsidR="00290C24" w:rsidP="00290C24" w:rsidRDefault="00290C24">
      <w:pPr>
        <w:pStyle w:val="ListParagraph"/>
        <w:numPr>
          <w:ilvl w:val="0"/>
          <w:numId w:val="0"/>
        </w:numPr>
        <w:rPr>
          <w:rFonts w:ascii="Arial" w:hAnsi="Arial"/>
          <w:i/>
          <w:iCs/>
        </w:rPr>
      </w:pPr>
      <w:r w:rsidRPr="00290C24">
        <w:t>PRES3005 and PRES3006 must be taken together and must both be passed.</w:t>
      </w:r>
    </w:p>
    <w:p w:rsidR="00290C24" w:rsidP="00E9400A" w:rsidRDefault="00290C24"/>
    <w:p w:rsidR="00E9400A" w:rsidP="00E9400A" w:rsidRDefault="00E9400A"/>
    <w:p w:rsidR="00E9400A" w:rsidP="00E9400A" w:rsidRDefault="00E9400A">
      <w:pPr>
        <w:pStyle w:val="Heading4"/>
      </w:pPr>
      <w:r>
        <w:t>Maximum periods of registration</w:t>
      </w:r>
      <w:r>
        <w:tab/>
      </w:r>
    </w:p>
    <w:p w:rsidR="00E9400A" w:rsidP="00E9400A" w:rsidRDefault="00E9400A">
      <w:r>
        <w:t>The maximum periods of registration will normally be two years on the BSc/</w:t>
      </w:r>
      <w:proofErr w:type="spellStart"/>
      <w:r>
        <w:t>GradCert</w:t>
      </w:r>
      <w:proofErr w:type="spellEnd"/>
      <w:r>
        <w:t xml:space="preserve"> and three years on the BSc (Hons)/</w:t>
      </w:r>
      <w:proofErr w:type="spellStart"/>
      <w:r>
        <w:t>GradDip</w:t>
      </w:r>
      <w:proofErr w:type="spellEnd"/>
      <w:r>
        <w:t>.</w:t>
      </w:r>
    </w:p>
    <w:p w:rsidR="00E9400A" w:rsidP="00E9400A" w:rsidRDefault="00E9400A"/>
    <w:p w:rsidR="00E9400A" w:rsidP="00E9400A" w:rsidRDefault="00E9400A">
      <w:pPr>
        <w:pStyle w:val="Heading4"/>
      </w:pPr>
      <w:r>
        <w:t>Recognition of Prior Learning (RPL)</w:t>
      </w:r>
      <w:r>
        <w:tab/>
      </w:r>
    </w:p>
    <w:p w:rsidR="00E9400A" w:rsidP="00E9400A" w:rsidRDefault="00E9400A">
      <w:r>
        <w:t>For non-honours students 15 credits of RPL are available at level 6. For honours students 45 credits of RPL are available at level 6.</w:t>
      </w:r>
    </w:p>
    <w:p w:rsidR="00E9400A" w:rsidP="00E9400A" w:rsidRDefault="00E9400A"/>
    <w:p w:rsidR="00E9400A" w:rsidP="00E9400A" w:rsidRDefault="00E9400A">
      <w:pPr>
        <w:pStyle w:val="Heading4"/>
      </w:pPr>
      <w:r>
        <w:t xml:space="preserve">Classification of awards </w:t>
      </w:r>
      <w:r>
        <w:tab/>
      </w:r>
    </w:p>
    <w:p w:rsidR="00E9400A" w:rsidP="00E9400A" w:rsidRDefault="00E9400A">
      <w:r>
        <w:t>This is a level 6 programme and is therefore classified on the best 105 level 6 credits.</w:t>
      </w:r>
    </w:p>
    <w:p w:rsidR="00E9400A" w:rsidP="00E9400A" w:rsidRDefault="00E9400A"/>
    <w:p w:rsidR="00E9400A" w:rsidP="00E9400A" w:rsidRDefault="00E9400A">
      <w:r>
        <w:t>Where a student has studied and passed more than 120 credits, degree classification will be based on an average of the total number of credits, excluding the 30 credits with the lowest mark(s). Where a student has studied and passed less than 120 level 6 credits (due to RPL) classification will be based upon the average of the marks for all modules studied.</w:t>
      </w:r>
    </w:p>
    <w:p w:rsidR="00E9400A" w:rsidP="00B47678" w:rsidRDefault="00E9400A"/>
    <w:p w:rsidR="00E9400A" w:rsidP="00E9400A" w:rsidRDefault="008416BE">
      <w:pPr>
        <w:pStyle w:val="Heading3"/>
      </w:pPr>
      <w:r>
        <w:t xml:space="preserve">Degree in </w:t>
      </w:r>
      <w:r w:rsidR="00E9400A">
        <w:t>Professional Policing BA (Hons), L43582</w:t>
      </w:r>
    </w:p>
    <w:p w:rsidR="00E9400A" w:rsidP="00E9400A" w:rsidRDefault="00E9400A">
      <w:pPr>
        <w:pStyle w:val="headingunderline"/>
      </w:pPr>
    </w:p>
    <w:p w:rsidR="00E9400A" w:rsidP="00E9400A" w:rsidRDefault="00E9400A">
      <w:pPr>
        <w:pStyle w:val="Heading4"/>
      </w:pPr>
      <w:r>
        <w:t>Passing a module/Compensation</w:t>
      </w:r>
    </w:p>
    <w:p w:rsidR="00E9400A" w:rsidP="00E9400A" w:rsidRDefault="00E9400A">
      <w:r>
        <w:t>All core module components must be passed at 40 per cent. No compensation is available.</w:t>
      </w:r>
    </w:p>
    <w:p w:rsidR="00E9400A" w:rsidP="00E9400A" w:rsidRDefault="00E9400A"/>
    <w:p w:rsidR="00E9400A" w:rsidP="00E9400A" w:rsidRDefault="00E9400A">
      <w:pPr>
        <w:pStyle w:val="Heading4"/>
      </w:pPr>
      <w:r>
        <w:t>Reassessment of failure</w:t>
      </w:r>
    </w:p>
    <w:p w:rsidR="00E9400A" w:rsidP="00E9400A" w:rsidRDefault="00E9400A">
      <w:r>
        <w:t xml:space="preserve">A student will have a maximum of 90 credits of reassessment opportunities at each level of study. </w:t>
      </w:r>
    </w:p>
    <w:p w:rsidR="00E9400A" w:rsidP="00E9400A" w:rsidRDefault="00E9400A"/>
    <w:p w:rsidRPr="00D83599" w:rsidR="00E9400A" w:rsidP="00E9400A" w:rsidRDefault="00E9400A">
      <w:pPr>
        <w:pStyle w:val="Heading4"/>
      </w:pPr>
      <w:r w:rsidRPr="00D83599">
        <w:t>Progression between undergraduate levels of study</w:t>
      </w:r>
    </w:p>
    <w:p w:rsidRPr="00D83599" w:rsidR="00E9400A" w:rsidP="00E9400A" w:rsidRDefault="00E9400A">
      <w:r w:rsidRPr="00D83599">
        <w:t>Students must pass all modules before progressing to the next level.</w:t>
      </w:r>
    </w:p>
    <w:p w:rsidR="00E9400A" w:rsidP="00E9400A" w:rsidRDefault="00E9400A"/>
    <w:p w:rsidR="00E9400A" w:rsidP="00E9400A" w:rsidRDefault="00E9400A"/>
    <w:p w:rsidR="00365703" w:rsidP="00E9400A" w:rsidRDefault="00365703"/>
    <w:p w:rsidR="00E9400A" w:rsidP="00E9400A" w:rsidRDefault="00E9400A"/>
    <w:p w:rsidR="00E9400A" w:rsidP="00E9400A" w:rsidRDefault="00E9400A">
      <w:pPr>
        <w:pStyle w:val="Heading3"/>
      </w:pPr>
      <w:r w:rsidRPr="00511204">
        <w:t xml:space="preserve">Professional Policing </w:t>
      </w:r>
      <w:r w:rsidR="00034BA4">
        <w:t xml:space="preserve">Practice </w:t>
      </w:r>
      <w:r w:rsidRPr="00511204">
        <w:t xml:space="preserve">BA (Hons), L43591 </w:t>
      </w:r>
      <w:r w:rsidR="008416BE">
        <w:t>(Apprenticeship)</w:t>
      </w:r>
    </w:p>
    <w:p w:rsidRPr="007A624C" w:rsidR="00365703" w:rsidP="00365703" w:rsidRDefault="00365703">
      <w:pPr>
        <w:pStyle w:val="headingunderline"/>
        <w:rPr>
          <w:i/>
          <w:color w:val="548AB7" w:themeColor="accent1" w:themeShade="BF"/>
          <w:sz w:val="22"/>
          <w:szCs w:val="22"/>
        </w:rPr>
      </w:pPr>
      <w:r w:rsidRPr="007A624C">
        <w:rPr>
          <w:i/>
          <w:color w:val="548AB7" w:themeColor="accent1" w:themeShade="BF"/>
          <w:sz w:val="22"/>
          <w:szCs w:val="22"/>
        </w:rPr>
        <w:t>The College of Policing</w:t>
      </w:r>
    </w:p>
    <w:p w:rsidRPr="00365703" w:rsidR="00365703" w:rsidP="00365703" w:rsidRDefault="00365703"/>
    <w:p w:rsidR="00E9400A" w:rsidP="00E9400A" w:rsidRDefault="00E9400A">
      <w:pPr>
        <w:pStyle w:val="Heading4"/>
      </w:pPr>
      <w:r>
        <w:t>Passing a module/Compensation</w:t>
      </w:r>
    </w:p>
    <w:p w:rsidR="00C23584" w:rsidP="00C23584" w:rsidRDefault="00C23584">
      <w:r>
        <w:t>All core module components must be passed at 40 per cent. No compensation is available.</w:t>
      </w:r>
    </w:p>
    <w:p w:rsidR="00E9400A" w:rsidP="00E9400A" w:rsidRDefault="00E9400A"/>
    <w:p w:rsidR="00E9400A" w:rsidP="00E9400A" w:rsidRDefault="00E9400A">
      <w:r w:rsidRPr="00333AC1">
        <w:t>The level 4 Legislation and Policy module, delivered in year one will consists of three separate assessments. These are made up of a group desk-top scenario assessment, an individual student scenario assessment and an individual student multiple choice question assessment. Each of these assessments will be `must pass` assessments and are non-compensatory.</w:t>
      </w:r>
    </w:p>
    <w:p w:rsidR="00C23584" w:rsidP="00E9400A" w:rsidRDefault="00C23584"/>
    <w:p w:rsidRPr="00C23584" w:rsidR="00C23584" w:rsidP="00C23584" w:rsidRDefault="00C23584">
      <w:pPr>
        <w:pStyle w:val="Default"/>
        <w:rPr>
          <w:rFonts w:asciiTheme="minorHAnsi" w:hAnsiTheme="minorHAnsi"/>
          <w:sz w:val="22"/>
          <w:szCs w:val="22"/>
        </w:rPr>
      </w:pPr>
      <w:r w:rsidRPr="00C23584">
        <w:rPr>
          <w:rFonts w:asciiTheme="minorHAnsi" w:hAnsiTheme="minorHAnsi"/>
          <w:sz w:val="22"/>
          <w:szCs w:val="22"/>
        </w:rPr>
        <w:t xml:space="preserve">The integrated End Point Assessment (EPA) has a pass mark of 50% as dictated by the Institute of Apprenticeships and the College of Policing </w:t>
      </w:r>
    </w:p>
    <w:p w:rsidRPr="00333AC1" w:rsidR="00C23584" w:rsidP="00E9400A" w:rsidRDefault="00C23584"/>
    <w:p w:rsidR="00E9400A" w:rsidP="00E9400A" w:rsidRDefault="00E9400A"/>
    <w:p w:rsidR="00E9400A" w:rsidP="00E9400A" w:rsidRDefault="00E9400A">
      <w:pPr>
        <w:pStyle w:val="Heading4"/>
      </w:pPr>
      <w:r w:rsidRPr="00333AC1">
        <w:t>Reassessment of failure</w:t>
      </w:r>
    </w:p>
    <w:p w:rsidR="00E9400A" w:rsidP="00E9400A" w:rsidRDefault="00E9400A">
      <w:r>
        <w:t>Students on the programme will be permitted reassessment opportunities to a maximum of 90 credits at each academic level.</w:t>
      </w:r>
      <w:r w:rsidR="00574F7E">
        <w:t xml:space="preserve"> </w:t>
      </w:r>
      <w:r w:rsidR="00C23584">
        <w:t>Students have a maximum of three reassessment attempts at any one module.</w:t>
      </w:r>
    </w:p>
    <w:p w:rsidR="003F60A7" w:rsidP="00E9400A" w:rsidRDefault="003F60A7"/>
    <w:p w:rsidRPr="00D83599" w:rsidR="003F60A7" w:rsidP="003F60A7" w:rsidRDefault="003F60A7">
      <w:pPr>
        <w:pStyle w:val="Heading4"/>
      </w:pPr>
      <w:r w:rsidRPr="00D83599">
        <w:t>Progression between undergraduate levels of study</w:t>
      </w:r>
    </w:p>
    <w:p w:rsidRPr="00333AC1" w:rsidR="003F60A7" w:rsidP="00E9400A" w:rsidRDefault="003F60A7">
      <w:r>
        <w:t xml:space="preserve">Students need to pass all level 4 modules and passed Independent Patrol Status in order </w:t>
      </w:r>
      <w:r w:rsidR="00535874">
        <w:t>to</w:t>
      </w:r>
      <w:r>
        <w:t xml:space="preserve"> progress to level 5.</w:t>
      </w:r>
    </w:p>
    <w:p w:rsidR="00E9400A" w:rsidP="00B47678" w:rsidRDefault="00E9400A"/>
    <w:p w:rsidR="008416BE" w:rsidP="008416BE" w:rsidRDefault="008416BE">
      <w:pPr>
        <w:pStyle w:val="headingunderline"/>
        <w:rPr>
          <w:rFonts w:eastAsia="Calibri"/>
          <w:b/>
          <w:sz w:val="24"/>
          <w:szCs w:val="24"/>
        </w:rPr>
      </w:pPr>
      <w:r w:rsidRPr="00CA5F32">
        <w:rPr>
          <w:rFonts w:eastAsia="Calibri"/>
          <w:b/>
          <w:color w:val="548AB7" w:themeColor="accent1" w:themeShade="BF"/>
          <w:sz w:val="24"/>
          <w:szCs w:val="24"/>
        </w:rPr>
        <w:t>Professional Policing Practic</w:t>
      </w:r>
      <w:r w:rsidRPr="00355C30">
        <w:rPr>
          <w:rFonts w:eastAsia="Calibri"/>
          <w:b/>
          <w:color w:val="548AB7" w:themeColor="accent1" w:themeShade="BF"/>
          <w:sz w:val="24"/>
          <w:szCs w:val="24"/>
        </w:rPr>
        <w:t xml:space="preserve">e </w:t>
      </w:r>
      <w:r>
        <w:rPr>
          <w:rFonts w:eastAsia="Calibri"/>
          <w:b/>
          <w:color w:val="548AB7" w:themeColor="accent1" w:themeShade="BF"/>
          <w:sz w:val="24"/>
          <w:szCs w:val="24"/>
        </w:rPr>
        <w:t>(</w:t>
      </w:r>
      <w:r w:rsidRPr="00CA5F32">
        <w:rPr>
          <w:rFonts w:eastAsia="Calibri"/>
          <w:b/>
          <w:color w:val="548AB7" w:themeColor="accent1" w:themeShade="BF"/>
          <w:sz w:val="24"/>
          <w:szCs w:val="24"/>
        </w:rPr>
        <w:t>Graduate Diploma</w:t>
      </w:r>
      <w:r>
        <w:rPr>
          <w:rFonts w:eastAsia="Calibri"/>
          <w:b/>
          <w:color w:val="548AB7" w:themeColor="accent1" w:themeShade="BF"/>
          <w:sz w:val="24"/>
          <w:szCs w:val="24"/>
        </w:rPr>
        <w:t>)</w:t>
      </w:r>
      <w:r w:rsidRPr="00355C30">
        <w:rPr>
          <w:rFonts w:eastAsia="Calibri"/>
          <w:b/>
          <w:color w:val="548AB7" w:themeColor="accent1" w:themeShade="BF"/>
          <w:sz w:val="24"/>
          <w:szCs w:val="24"/>
        </w:rPr>
        <w:t xml:space="preserve"> L43571</w:t>
      </w:r>
    </w:p>
    <w:p w:rsidRPr="007A624C" w:rsidR="008416BE" w:rsidP="008416BE" w:rsidRDefault="008416BE">
      <w:pPr>
        <w:pStyle w:val="headingunderline"/>
        <w:rPr>
          <w:i/>
          <w:color w:val="548AB7" w:themeColor="accent1" w:themeShade="BF"/>
          <w:sz w:val="22"/>
          <w:szCs w:val="22"/>
        </w:rPr>
      </w:pPr>
      <w:r w:rsidRPr="007A624C">
        <w:rPr>
          <w:i/>
          <w:color w:val="548AB7" w:themeColor="accent1" w:themeShade="BF"/>
          <w:sz w:val="22"/>
          <w:szCs w:val="22"/>
        </w:rPr>
        <w:t>The College of Policing</w:t>
      </w:r>
    </w:p>
    <w:p w:rsidR="008416BE" w:rsidP="008416BE" w:rsidRDefault="008416BE"/>
    <w:p w:rsidR="008416BE" w:rsidP="008416BE" w:rsidRDefault="008416BE">
      <w:pPr>
        <w:pStyle w:val="Heading4"/>
      </w:pPr>
      <w:r>
        <w:t>Passing a module/Compensation</w:t>
      </w:r>
    </w:p>
    <w:p w:rsidR="008416BE" w:rsidP="008416BE" w:rsidRDefault="008416BE">
      <w:pPr>
        <w:pStyle w:val="BodyText"/>
        <w:kinsoku w:val="0"/>
        <w:overflowPunct w:val="0"/>
        <w:spacing w:line="276" w:lineRule="auto"/>
        <w:ind w:right="122"/>
        <w:jc w:val="both"/>
        <w:rPr>
          <w:rFonts w:cs="Arial" w:asciiTheme="majorHAnsi" w:hAnsiTheme="majorHAnsi"/>
          <w:spacing w:val="-1"/>
        </w:rPr>
      </w:pPr>
      <w:r w:rsidRPr="00CF3350">
        <w:rPr>
          <w:rFonts w:asciiTheme="minorHAnsi" w:hAnsiTheme="minorHAnsi"/>
        </w:rPr>
        <w:t xml:space="preserve">All module components must be passed at 40 per cent.  In some </w:t>
      </w:r>
      <w:proofErr w:type="gramStart"/>
      <w:r w:rsidRPr="00CF3350">
        <w:rPr>
          <w:rFonts w:asciiTheme="minorHAnsi" w:hAnsiTheme="minorHAnsi"/>
        </w:rPr>
        <w:t>instances</w:t>
      </w:r>
      <w:proofErr w:type="gramEnd"/>
      <w:r w:rsidRPr="00CF3350">
        <w:rPr>
          <w:rFonts w:asciiTheme="minorHAnsi" w:hAnsiTheme="minorHAnsi"/>
        </w:rPr>
        <w:t xml:space="preserve"> the components </w:t>
      </w:r>
      <w:r>
        <w:rPr>
          <w:rFonts w:asciiTheme="minorHAnsi" w:hAnsiTheme="minorHAnsi"/>
        </w:rPr>
        <w:t xml:space="preserve">threshold </w:t>
      </w:r>
      <w:r w:rsidRPr="00CF3350">
        <w:rPr>
          <w:rFonts w:asciiTheme="minorHAnsi" w:hAnsiTheme="minorHAnsi"/>
        </w:rPr>
        <w:t xml:space="preserve">can be higher than 40%. </w:t>
      </w:r>
      <w:r w:rsidRPr="00CF3350">
        <w:rPr>
          <w:rFonts w:cs="Arial" w:asciiTheme="minorHAnsi" w:hAnsiTheme="minorHAnsi"/>
          <w:spacing w:val="-1"/>
        </w:rPr>
        <w:t>No compensation of cr</w:t>
      </w:r>
      <w:r w:rsidRPr="00D170B2">
        <w:rPr>
          <w:rFonts w:cs="Arial" w:asciiTheme="majorHAnsi" w:hAnsiTheme="majorHAnsi"/>
          <w:spacing w:val="-1"/>
        </w:rPr>
        <w:t xml:space="preserve">edits is allowed between modules and/or individual assessments. </w:t>
      </w:r>
    </w:p>
    <w:p w:rsidR="008416BE" w:rsidP="008416BE" w:rsidRDefault="008416BE">
      <w:pPr>
        <w:pStyle w:val="Heading4"/>
      </w:pPr>
      <w:r>
        <w:t>Reassessment of failure</w:t>
      </w:r>
    </w:p>
    <w:p w:rsidR="00EA70B5" w:rsidP="008416BE" w:rsidRDefault="008416BE">
      <w:r>
        <w:rPr>
          <w:rFonts w:cs="Arial"/>
        </w:rPr>
        <w:t xml:space="preserve">Students on the programme are </w:t>
      </w:r>
      <w:r>
        <w:rPr>
          <w:rFonts w:cs="Arial"/>
          <w:spacing w:val="-1"/>
        </w:rPr>
        <w:t>p</w:t>
      </w:r>
      <w:r>
        <w:rPr>
          <w:rFonts w:cs="Arial"/>
        </w:rPr>
        <w:t>e</w:t>
      </w:r>
      <w:r>
        <w:rPr>
          <w:rFonts w:cs="Arial"/>
          <w:spacing w:val="-3"/>
        </w:rPr>
        <w:t>r</w:t>
      </w:r>
      <w:r>
        <w:rPr>
          <w:rFonts w:cs="Arial"/>
          <w:spacing w:val="1"/>
        </w:rPr>
        <w:t>m</w:t>
      </w:r>
      <w:r>
        <w:rPr>
          <w:rFonts w:cs="Arial"/>
          <w:spacing w:val="-1"/>
        </w:rPr>
        <w:t>i</w:t>
      </w:r>
      <w:r>
        <w:rPr>
          <w:rFonts w:cs="Arial"/>
          <w:spacing w:val="-2"/>
        </w:rPr>
        <w:t>t</w:t>
      </w:r>
      <w:r>
        <w:rPr>
          <w:rFonts w:cs="Arial"/>
        </w:rPr>
        <w:t>ted</w:t>
      </w:r>
      <w:r>
        <w:rPr>
          <w:rFonts w:cs="Arial"/>
          <w:spacing w:val="32"/>
        </w:rPr>
        <w:t xml:space="preserve"> </w:t>
      </w:r>
      <w:r>
        <w:rPr>
          <w:rFonts w:cs="Arial"/>
          <w:spacing w:val="-3"/>
        </w:rPr>
        <w:t>r</w:t>
      </w:r>
      <w:r>
        <w:rPr>
          <w:rFonts w:cs="Arial"/>
        </w:rPr>
        <w:t>e</w:t>
      </w:r>
      <w:r>
        <w:rPr>
          <w:rFonts w:cs="Arial"/>
          <w:spacing w:val="-3"/>
        </w:rPr>
        <w:t>a</w:t>
      </w:r>
      <w:r>
        <w:rPr>
          <w:rFonts w:cs="Arial"/>
          <w:spacing w:val="-1"/>
        </w:rPr>
        <w:t>ss</w:t>
      </w:r>
      <w:r>
        <w:rPr>
          <w:rFonts w:cs="Arial"/>
        </w:rPr>
        <w:t>es</w:t>
      </w:r>
      <w:r>
        <w:rPr>
          <w:rFonts w:cs="Arial"/>
          <w:spacing w:val="-3"/>
        </w:rPr>
        <w:t>s</w:t>
      </w:r>
      <w:r>
        <w:rPr>
          <w:rFonts w:cs="Arial"/>
          <w:spacing w:val="1"/>
        </w:rPr>
        <w:t>m</w:t>
      </w:r>
      <w:r>
        <w:rPr>
          <w:rFonts w:cs="Arial"/>
        </w:rPr>
        <w:t>e</w:t>
      </w:r>
      <w:r>
        <w:rPr>
          <w:rFonts w:cs="Arial"/>
          <w:spacing w:val="-1"/>
        </w:rPr>
        <w:t>n</w:t>
      </w:r>
      <w:r>
        <w:rPr>
          <w:rFonts w:cs="Arial"/>
        </w:rPr>
        <w:t>t</w:t>
      </w:r>
      <w:r>
        <w:rPr>
          <w:rFonts w:cs="Arial"/>
          <w:spacing w:val="32"/>
        </w:rPr>
        <w:t xml:space="preserve"> </w:t>
      </w:r>
      <w:r>
        <w:rPr>
          <w:rFonts w:cs="Arial"/>
          <w:spacing w:val="1"/>
        </w:rPr>
        <w:t>o</w:t>
      </w:r>
      <w:r>
        <w:rPr>
          <w:rFonts w:cs="Arial"/>
          <w:spacing w:val="-1"/>
        </w:rPr>
        <w:t>pp</w:t>
      </w:r>
      <w:r>
        <w:rPr>
          <w:rFonts w:cs="Arial"/>
          <w:spacing w:val="-2"/>
        </w:rPr>
        <w:t>o</w:t>
      </w:r>
      <w:r>
        <w:rPr>
          <w:rFonts w:cs="Arial"/>
          <w:spacing w:val="-1"/>
        </w:rPr>
        <w:t>r</w:t>
      </w:r>
      <w:r>
        <w:rPr>
          <w:rFonts w:cs="Arial"/>
        </w:rPr>
        <w:t>t</w:t>
      </w:r>
      <w:r>
        <w:rPr>
          <w:rFonts w:cs="Arial"/>
          <w:spacing w:val="-1"/>
        </w:rPr>
        <w:t>uni</w:t>
      </w:r>
      <w:r>
        <w:rPr>
          <w:rFonts w:cs="Arial"/>
        </w:rPr>
        <w:t>t</w:t>
      </w:r>
      <w:r>
        <w:rPr>
          <w:rFonts w:cs="Arial"/>
          <w:spacing w:val="-1"/>
        </w:rPr>
        <w:t>i</w:t>
      </w:r>
      <w:r>
        <w:rPr>
          <w:rFonts w:cs="Arial"/>
        </w:rPr>
        <w:t>es</w:t>
      </w:r>
      <w:r>
        <w:rPr>
          <w:rFonts w:cs="Arial"/>
          <w:spacing w:val="32"/>
        </w:rPr>
        <w:t xml:space="preserve"> </w:t>
      </w:r>
      <w:r>
        <w:rPr>
          <w:rFonts w:cs="Arial"/>
          <w:spacing w:val="-2"/>
        </w:rPr>
        <w:t>t</w:t>
      </w:r>
      <w:r>
        <w:rPr>
          <w:rFonts w:cs="Arial"/>
        </w:rPr>
        <w:t>o</w:t>
      </w:r>
      <w:r>
        <w:rPr>
          <w:rFonts w:cs="Arial"/>
          <w:spacing w:val="35"/>
        </w:rPr>
        <w:t xml:space="preserve"> </w:t>
      </w:r>
      <w:r>
        <w:rPr>
          <w:rFonts w:cs="Arial"/>
        </w:rPr>
        <w:t>a</w:t>
      </w:r>
      <w:r>
        <w:rPr>
          <w:rFonts w:cs="Arial"/>
          <w:spacing w:val="31"/>
        </w:rPr>
        <w:t xml:space="preserve"> </w:t>
      </w:r>
      <w:r>
        <w:rPr>
          <w:rFonts w:cs="Arial"/>
          <w:spacing w:val="1"/>
        </w:rPr>
        <w:t>m</w:t>
      </w:r>
      <w:r>
        <w:rPr>
          <w:rFonts w:cs="Arial"/>
          <w:spacing w:val="-1"/>
        </w:rPr>
        <w:t>a</w:t>
      </w:r>
      <w:r>
        <w:rPr>
          <w:rFonts w:cs="Arial"/>
        </w:rPr>
        <w:t>x</w:t>
      </w:r>
      <w:r>
        <w:rPr>
          <w:rFonts w:cs="Arial"/>
          <w:spacing w:val="-3"/>
        </w:rPr>
        <w:t>i</w:t>
      </w:r>
      <w:r>
        <w:rPr>
          <w:rFonts w:cs="Arial"/>
          <w:spacing w:val="1"/>
        </w:rPr>
        <w:t>m</w:t>
      </w:r>
      <w:r>
        <w:rPr>
          <w:rFonts w:cs="Arial"/>
          <w:spacing w:val="-4"/>
        </w:rPr>
        <w:t>u</w:t>
      </w:r>
      <w:r>
        <w:rPr>
          <w:rFonts w:cs="Arial"/>
        </w:rPr>
        <w:t>m</w:t>
      </w:r>
      <w:r>
        <w:rPr>
          <w:rFonts w:cs="Arial"/>
          <w:spacing w:val="33"/>
        </w:rPr>
        <w:t xml:space="preserve"> </w:t>
      </w:r>
      <w:r>
        <w:rPr>
          <w:rFonts w:cs="Arial"/>
          <w:spacing w:val="1"/>
        </w:rPr>
        <w:t>o</w:t>
      </w:r>
      <w:r>
        <w:rPr>
          <w:rFonts w:cs="Arial"/>
        </w:rPr>
        <w:t>f</w:t>
      </w:r>
      <w:r>
        <w:rPr>
          <w:rFonts w:cs="Arial"/>
          <w:spacing w:val="34"/>
        </w:rPr>
        <w:t xml:space="preserve"> </w:t>
      </w:r>
      <w:r>
        <w:rPr>
          <w:rFonts w:cs="Arial"/>
          <w:spacing w:val="-2"/>
        </w:rPr>
        <w:t>9</w:t>
      </w:r>
      <w:r>
        <w:rPr>
          <w:rFonts w:cs="Arial"/>
        </w:rPr>
        <w:t>0</w:t>
      </w:r>
      <w:r>
        <w:rPr>
          <w:rFonts w:cs="Arial"/>
          <w:spacing w:val="34"/>
        </w:rPr>
        <w:t xml:space="preserve"> </w:t>
      </w:r>
      <w:r>
        <w:rPr>
          <w:rFonts w:cs="Arial"/>
          <w:spacing w:val="-3"/>
        </w:rPr>
        <w:t>c</w:t>
      </w:r>
      <w:r>
        <w:rPr>
          <w:rFonts w:cs="Arial"/>
          <w:spacing w:val="-1"/>
        </w:rPr>
        <w:t>r</w:t>
      </w:r>
      <w:r>
        <w:rPr>
          <w:rFonts w:cs="Arial"/>
        </w:rPr>
        <w:t>e</w:t>
      </w:r>
      <w:r>
        <w:rPr>
          <w:rFonts w:cs="Arial"/>
          <w:spacing w:val="-1"/>
        </w:rPr>
        <w:t>d</w:t>
      </w:r>
      <w:r>
        <w:rPr>
          <w:rFonts w:cs="Arial"/>
          <w:spacing w:val="-3"/>
        </w:rPr>
        <w:t>i</w:t>
      </w:r>
      <w:r>
        <w:rPr>
          <w:rFonts w:cs="Arial"/>
        </w:rPr>
        <w:t>ts</w:t>
      </w:r>
      <w:r>
        <w:rPr>
          <w:rFonts w:cs="Arial"/>
          <w:spacing w:val="34"/>
        </w:rPr>
        <w:t xml:space="preserve"> </w:t>
      </w:r>
      <w:r>
        <w:rPr>
          <w:rFonts w:cs="Arial"/>
          <w:spacing w:val="-1"/>
        </w:rPr>
        <w:t>a</w:t>
      </w:r>
      <w:r>
        <w:rPr>
          <w:rFonts w:cs="Arial"/>
        </w:rPr>
        <w:t>t</w:t>
      </w:r>
      <w:r>
        <w:rPr>
          <w:rFonts w:cs="Arial"/>
          <w:spacing w:val="32"/>
        </w:rPr>
        <w:t xml:space="preserve"> </w:t>
      </w:r>
      <w:r>
        <w:rPr>
          <w:rFonts w:cs="Arial"/>
        </w:rPr>
        <w:t>e</w:t>
      </w:r>
      <w:r>
        <w:rPr>
          <w:rFonts w:cs="Arial"/>
          <w:spacing w:val="-1"/>
        </w:rPr>
        <w:t>a</w:t>
      </w:r>
      <w:r>
        <w:rPr>
          <w:rFonts w:cs="Arial"/>
        </w:rPr>
        <w:t>ch</w:t>
      </w:r>
      <w:r>
        <w:rPr>
          <w:rFonts w:cs="Arial"/>
          <w:spacing w:val="33"/>
        </w:rPr>
        <w:t xml:space="preserve"> </w:t>
      </w:r>
      <w:r>
        <w:rPr>
          <w:rFonts w:cs="Arial"/>
          <w:spacing w:val="-1"/>
        </w:rPr>
        <w:t>a</w:t>
      </w:r>
      <w:r>
        <w:rPr>
          <w:rFonts w:cs="Arial"/>
          <w:spacing w:val="-3"/>
        </w:rPr>
        <w:t>c</w:t>
      </w:r>
      <w:r>
        <w:rPr>
          <w:rFonts w:cs="Arial"/>
          <w:spacing w:val="-1"/>
        </w:rPr>
        <w:t>ad</w:t>
      </w:r>
      <w:r>
        <w:rPr>
          <w:rFonts w:cs="Arial"/>
          <w:spacing w:val="-2"/>
        </w:rPr>
        <w:t>e</w:t>
      </w:r>
      <w:r>
        <w:rPr>
          <w:rFonts w:cs="Arial"/>
          <w:spacing w:val="1"/>
        </w:rPr>
        <w:t>m</w:t>
      </w:r>
      <w:r>
        <w:rPr>
          <w:rFonts w:cs="Arial"/>
          <w:spacing w:val="-1"/>
        </w:rPr>
        <w:t>i</w:t>
      </w:r>
      <w:r>
        <w:rPr>
          <w:rFonts w:cs="Arial"/>
        </w:rPr>
        <w:t xml:space="preserve">c </w:t>
      </w:r>
      <w:r>
        <w:rPr>
          <w:rFonts w:cs="Arial"/>
          <w:spacing w:val="-1"/>
        </w:rPr>
        <w:t>l</w:t>
      </w:r>
      <w:r>
        <w:rPr>
          <w:rFonts w:cs="Arial"/>
        </w:rPr>
        <w:t>eve</w:t>
      </w:r>
      <w:r>
        <w:rPr>
          <w:rFonts w:cs="Arial"/>
          <w:spacing w:val="-1"/>
        </w:rPr>
        <w:t>l</w:t>
      </w:r>
      <w:r>
        <w:rPr>
          <w:rFonts w:cs="Arial"/>
        </w:rPr>
        <w:t>,</w:t>
      </w:r>
      <w:r>
        <w:rPr>
          <w:rFonts w:cs="Arial"/>
          <w:spacing w:val="-2"/>
        </w:rPr>
        <w:t xml:space="preserve"> </w:t>
      </w:r>
      <w:r>
        <w:rPr>
          <w:rFonts w:cs="Arial"/>
          <w:spacing w:val="-1"/>
        </w:rPr>
        <w:t>i</w:t>
      </w:r>
      <w:r>
        <w:rPr>
          <w:rFonts w:cs="Arial"/>
        </w:rPr>
        <w:t>n</w:t>
      </w:r>
      <w:r>
        <w:rPr>
          <w:rFonts w:cs="Arial"/>
          <w:spacing w:val="-1"/>
        </w:rPr>
        <w:t xml:space="preserve"> an</w:t>
      </w:r>
      <w:r>
        <w:rPr>
          <w:rFonts w:cs="Arial"/>
        </w:rPr>
        <w:t>y</w:t>
      </w:r>
      <w:r>
        <w:rPr>
          <w:rFonts w:cs="Arial"/>
          <w:spacing w:val="1"/>
        </w:rPr>
        <w:t xml:space="preserve"> </w:t>
      </w:r>
      <w:r>
        <w:rPr>
          <w:rFonts w:cs="Arial"/>
          <w:spacing w:val="-4"/>
        </w:rPr>
        <w:t>p</w:t>
      </w:r>
      <w:r>
        <w:rPr>
          <w:rFonts w:cs="Arial"/>
        </w:rPr>
        <w:t>e</w:t>
      </w:r>
      <w:r>
        <w:rPr>
          <w:rFonts w:cs="Arial"/>
          <w:spacing w:val="-1"/>
        </w:rPr>
        <w:t>r</w:t>
      </w:r>
      <w:r>
        <w:rPr>
          <w:rFonts w:cs="Arial"/>
          <w:spacing w:val="1"/>
        </w:rPr>
        <w:t>m</w:t>
      </w:r>
      <w:r>
        <w:rPr>
          <w:rFonts w:cs="Arial"/>
          <w:spacing w:val="-4"/>
        </w:rPr>
        <w:t>u</w:t>
      </w:r>
      <w:r>
        <w:rPr>
          <w:rFonts w:cs="Arial"/>
        </w:rPr>
        <w:t>t</w:t>
      </w:r>
      <w:r>
        <w:rPr>
          <w:rFonts w:cs="Arial"/>
          <w:spacing w:val="-1"/>
        </w:rPr>
        <w:t>a</w:t>
      </w:r>
      <w:r>
        <w:rPr>
          <w:rFonts w:cs="Arial"/>
        </w:rPr>
        <w:t>t</w:t>
      </w:r>
      <w:r>
        <w:rPr>
          <w:rFonts w:cs="Arial"/>
          <w:spacing w:val="-3"/>
        </w:rPr>
        <w:t>i</w:t>
      </w:r>
      <w:r>
        <w:rPr>
          <w:rFonts w:cs="Arial"/>
          <w:spacing w:val="1"/>
        </w:rPr>
        <w:t>o</w:t>
      </w:r>
      <w:r>
        <w:rPr>
          <w:rFonts w:cs="Arial"/>
        </w:rPr>
        <w:t>n</w:t>
      </w:r>
      <w:r>
        <w:rPr>
          <w:rFonts w:cs="Arial"/>
          <w:spacing w:val="-1"/>
        </w:rPr>
        <w:t xml:space="preserve"> </w:t>
      </w:r>
      <w:r>
        <w:rPr>
          <w:rFonts w:cs="Arial"/>
          <w:spacing w:val="-2"/>
        </w:rPr>
        <w:t>o</w:t>
      </w:r>
      <w:r>
        <w:rPr>
          <w:rFonts w:cs="Arial"/>
        </w:rPr>
        <w:t>r c</w:t>
      </w:r>
      <w:r>
        <w:rPr>
          <w:rFonts w:cs="Arial"/>
          <w:spacing w:val="-2"/>
        </w:rPr>
        <w:t>o</w:t>
      </w:r>
      <w:r>
        <w:rPr>
          <w:rFonts w:cs="Arial"/>
          <w:spacing w:val="1"/>
        </w:rPr>
        <w:t>m</w:t>
      </w:r>
      <w:r>
        <w:rPr>
          <w:rFonts w:cs="Arial"/>
          <w:spacing w:val="-1"/>
        </w:rPr>
        <w:t>bina</w:t>
      </w:r>
      <w:r>
        <w:rPr>
          <w:rFonts w:cs="Arial"/>
        </w:rPr>
        <w:t>t</w:t>
      </w:r>
      <w:r>
        <w:rPr>
          <w:rFonts w:cs="Arial"/>
          <w:spacing w:val="-3"/>
        </w:rPr>
        <w:t>i</w:t>
      </w:r>
      <w:r>
        <w:rPr>
          <w:rFonts w:cs="Arial"/>
          <w:spacing w:val="1"/>
        </w:rPr>
        <w:t>o</w:t>
      </w:r>
      <w:r>
        <w:rPr>
          <w:rFonts w:cs="Arial"/>
        </w:rPr>
        <w:t>n</w:t>
      </w:r>
      <w:r>
        <w:rPr>
          <w:rFonts w:cs="Arial"/>
          <w:spacing w:val="-1"/>
        </w:rPr>
        <w:t xml:space="preserve"> </w:t>
      </w:r>
      <w:r>
        <w:rPr>
          <w:rFonts w:cs="Arial"/>
          <w:spacing w:val="1"/>
        </w:rPr>
        <w:t>o</w:t>
      </w:r>
      <w:r>
        <w:rPr>
          <w:rFonts w:cs="Arial"/>
        </w:rPr>
        <w:t>f</w:t>
      </w:r>
      <w:r>
        <w:rPr>
          <w:rFonts w:cs="Arial"/>
          <w:spacing w:val="-3"/>
        </w:rPr>
        <w:t xml:space="preserve"> </w:t>
      </w:r>
      <w:r>
        <w:rPr>
          <w:rFonts w:cs="Arial"/>
          <w:spacing w:val="-2"/>
        </w:rPr>
        <w:t>m</w:t>
      </w:r>
      <w:r>
        <w:rPr>
          <w:rFonts w:cs="Arial"/>
          <w:spacing w:val="1"/>
        </w:rPr>
        <w:t>o</w:t>
      </w:r>
      <w:r>
        <w:rPr>
          <w:rFonts w:cs="Arial"/>
          <w:spacing w:val="-1"/>
        </w:rPr>
        <w:t>dul</w:t>
      </w:r>
      <w:r>
        <w:rPr>
          <w:rFonts w:cs="Arial"/>
        </w:rPr>
        <w:t>e</w:t>
      </w:r>
      <w:r>
        <w:rPr>
          <w:rFonts w:cs="Arial"/>
          <w:spacing w:val="-2"/>
        </w:rPr>
        <w:t xml:space="preserve"> </w:t>
      </w:r>
      <w:r>
        <w:rPr>
          <w:rFonts w:cs="Arial"/>
          <w:spacing w:val="-1"/>
        </w:rPr>
        <w:t>siz</w:t>
      </w:r>
      <w:r>
        <w:rPr>
          <w:rFonts w:cs="Arial"/>
        </w:rPr>
        <w:t>e</w:t>
      </w:r>
      <w:r>
        <w:rPr>
          <w:rFonts w:cs="Arial"/>
          <w:spacing w:val="-1"/>
        </w:rPr>
        <w:t>s</w:t>
      </w:r>
      <w:r>
        <w:rPr>
          <w:rFonts w:cs="Arial"/>
        </w:rPr>
        <w:t>.</w:t>
      </w:r>
    </w:p>
    <w:p w:rsidR="001C42AD" w:rsidP="00B47678" w:rsidRDefault="001C42AD"/>
    <w:p w:rsidR="00EC48ED" w:rsidP="00EC48ED" w:rsidRDefault="00EC48ED">
      <w:pPr>
        <w:pStyle w:val="Heading3"/>
        <w:rPr>
          <w:rFonts w:eastAsia="Times New Roman"/>
        </w:rPr>
      </w:pPr>
      <w:r>
        <w:rPr>
          <w:rFonts w:eastAsia="Times New Roman"/>
        </w:rPr>
        <w:t>Social Work BA (Hons), L50044</w:t>
      </w:r>
    </w:p>
    <w:p w:rsidR="004737ED" w:rsidP="00EC48ED" w:rsidRDefault="00702EA8">
      <w:pPr>
        <w:pStyle w:val="NoSpacing"/>
        <w:rPr>
          <w:rFonts w:eastAsiaTheme="minorHAnsi"/>
        </w:rPr>
      </w:pPr>
      <w:r>
        <w:t xml:space="preserve">Social Work England (SWE) </w:t>
      </w:r>
      <w:r w:rsidR="004737ED">
        <w:rPr>
          <w:rFonts w:eastAsiaTheme="minorHAnsi"/>
        </w:rPr>
        <w:t>__________________________________________________________________________________________</w:t>
      </w:r>
    </w:p>
    <w:p w:rsidR="00EC48ED" w:rsidP="00EC48ED" w:rsidRDefault="00EC48ED">
      <w:pPr>
        <w:pStyle w:val="headingunderline0"/>
      </w:pPr>
      <w:r>
        <w:t> </w:t>
      </w:r>
    </w:p>
    <w:p w:rsidR="00EC48ED" w:rsidP="00EC48ED" w:rsidRDefault="00EC48ED">
      <w:pPr>
        <w:pStyle w:val="Heading4"/>
        <w:rPr>
          <w:rFonts w:eastAsia="Times New Roman"/>
        </w:rPr>
      </w:pPr>
      <w:r>
        <w:rPr>
          <w:rFonts w:eastAsia="Times New Roman"/>
        </w:rPr>
        <w:t>Passing a module/Compensation</w:t>
      </w:r>
    </w:p>
    <w:p w:rsidR="00EC48ED" w:rsidP="00EC48ED" w:rsidRDefault="00EC48ED">
      <w:pPr>
        <w:rPr>
          <w:color w:val="000000"/>
        </w:rPr>
      </w:pPr>
      <w:r>
        <w:rPr>
          <w:color w:val="000000"/>
        </w:rPr>
        <w:t>All module components must be passed at 40 per cent. No compensation is available. The programme has a number of credit-bearing pass/fail modules (30 credits at level 5; 45 credits at level 6).</w:t>
      </w:r>
    </w:p>
    <w:p w:rsidR="00EC48ED" w:rsidP="00EC48ED" w:rsidRDefault="00EC48ED">
      <w:pPr>
        <w:rPr>
          <w:color w:val="000000"/>
        </w:rPr>
      </w:pPr>
      <w:r>
        <w:rPr>
          <w:color w:val="000000"/>
        </w:rPr>
        <w:t> </w:t>
      </w:r>
    </w:p>
    <w:p w:rsidR="00EC48ED" w:rsidP="00EC48ED" w:rsidRDefault="00EC48ED">
      <w:pPr>
        <w:pStyle w:val="Heading4"/>
        <w:rPr>
          <w:rFonts w:eastAsia="Times New Roman"/>
          <w:color w:val="76923C"/>
        </w:rPr>
      </w:pPr>
      <w:r>
        <w:rPr>
          <w:rFonts w:eastAsia="Times New Roman"/>
        </w:rPr>
        <w:t>Reassessment of failure</w:t>
      </w:r>
    </w:p>
    <w:p w:rsidR="00EC48ED" w:rsidP="00EC48ED" w:rsidRDefault="00EC48ED">
      <w:pPr>
        <w:rPr>
          <w:color w:val="000000"/>
        </w:rPr>
      </w:pPr>
      <w:r>
        <w:rPr>
          <w:color w:val="000000"/>
        </w:rPr>
        <w:t>A student will have a maximum of 90 credits of reassessment opportunities at each of levels 4 and 5 and 60 credits at level 6.</w:t>
      </w:r>
    </w:p>
    <w:p w:rsidR="00EC48ED" w:rsidP="00EC48ED" w:rsidRDefault="00EC48ED">
      <w:pPr>
        <w:rPr>
          <w:color w:val="000000"/>
        </w:rPr>
      </w:pPr>
      <w:r>
        <w:rPr>
          <w:color w:val="000000"/>
        </w:rPr>
        <w:t> </w:t>
      </w:r>
    </w:p>
    <w:p w:rsidR="00EC48ED" w:rsidP="00EC48ED" w:rsidRDefault="00EC48ED">
      <w:pPr>
        <w:pStyle w:val="Heading4"/>
        <w:rPr>
          <w:rFonts w:eastAsia="Times New Roman"/>
          <w:color w:val="76923C"/>
        </w:rPr>
      </w:pPr>
      <w:r>
        <w:rPr>
          <w:rFonts w:eastAsia="Times New Roman"/>
        </w:rPr>
        <w:t>Repeating an undergraduate level of study</w:t>
      </w:r>
    </w:p>
    <w:p w:rsidR="00EC48ED" w:rsidP="00EC48ED" w:rsidRDefault="00EC48ED">
      <w:pPr>
        <w:rPr>
          <w:color w:val="000000"/>
        </w:rPr>
      </w:pPr>
      <w:r>
        <w:rPr>
          <w:color w:val="000000"/>
        </w:rPr>
        <w:t>Students are not permitted to repeat an undergraduate level of study.</w:t>
      </w:r>
    </w:p>
    <w:p w:rsidR="00EC48ED" w:rsidP="00EC48ED" w:rsidRDefault="00EC48ED">
      <w:pPr>
        <w:rPr>
          <w:color w:val="000000"/>
        </w:rPr>
      </w:pPr>
      <w:r>
        <w:rPr>
          <w:color w:val="000000"/>
        </w:rPr>
        <w:t> </w:t>
      </w:r>
    </w:p>
    <w:p w:rsidR="00EC48ED" w:rsidP="00EC48ED" w:rsidRDefault="00EC48ED">
      <w:pPr>
        <w:pStyle w:val="Heading4"/>
        <w:rPr>
          <w:rFonts w:eastAsia="Times New Roman"/>
          <w:color w:val="76923C"/>
        </w:rPr>
      </w:pPr>
      <w:r>
        <w:rPr>
          <w:rFonts w:eastAsia="Times New Roman"/>
        </w:rPr>
        <w:t xml:space="preserve">Progression between undergraduate levels of study </w:t>
      </w:r>
    </w:p>
    <w:p w:rsidR="00EC48ED" w:rsidP="00EC48ED" w:rsidRDefault="00EC48ED">
      <w:pPr>
        <w:rPr>
          <w:color w:val="000000"/>
        </w:rPr>
      </w:pPr>
      <w:r>
        <w:rPr>
          <w:color w:val="000000"/>
        </w:rPr>
        <w:t>Students must satisfy the attendance requirement of 70 per cent for all academic modules. Any fails for attendance must be retrieved before a student is allowed to progress.</w:t>
      </w:r>
    </w:p>
    <w:p w:rsidR="00EC48ED" w:rsidP="00EC48ED" w:rsidRDefault="00EC48ED">
      <w:pPr>
        <w:rPr>
          <w:color w:val="000000"/>
        </w:rPr>
      </w:pPr>
      <w:r>
        <w:rPr>
          <w:color w:val="000000"/>
        </w:rPr>
        <w:t> </w:t>
      </w:r>
    </w:p>
    <w:p w:rsidR="00EC48ED" w:rsidP="00EC48ED" w:rsidRDefault="00EC48ED">
      <w:pPr>
        <w:rPr>
          <w:color w:val="000000"/>
        </w:rPr>
      </w:pPr>
      <w:r>
        <w:rPr>
          <w:color w:val="000000"/>
        </w:rPr>
        <w:t>Students must achieve a 100 per cent attendance for the required number of placement days at each level.</w:t>
      </w:r>
    </w:p>
    <w:p w:rsidR="00EC48ED" w:rsidP="00EC48ED" w:rsidRDefault="00EC48ED">
      <w:pPr>
        <w:pStyle w:val="Heading4"/>
        <w:rPr>
          <w:rFonts w:eastAsia="Times New Roman"/>
          <w:color w:val="76923C"/>
        </w:rPr>
      </w:pPr>
      <w:r>
        <w:rPr>
          <w:rFonts w:ascii="Calibri" w:hAnsi="Calibri" w:eastAsia="Times New Roman" w:cs="Calibri"/>
          <w:color w:val="1F497D"/>
        </w:rPr>
        <w:t> </w:t>
      </w:r>
    </w:p>
    <w:p w:rsidR="00EC48ED" w:rsidP="00EC48ED" w:rsidRDefault="00EC48ED">
      <w:pPr>
        <w:rPr>
          <w:color w:val="000000"/>
        </w:rPr>
      </w:pPr>
      <w:r>
        <w:rPr>
          <w:color w:val="000000"/>
        </w:rPr>
        <w:t>Students cannot progress to the next level of practice placement without having achieved the credits for the previous practice placement.</w:t>
      </w:r>
    </w:p>
    <w:p w:rsidR="00EC48ED" w:rsidP="00EC48ED" w:rsidRDefault="00EC48ED">
      <w:pPr>
        <w:rPr>
          <w:color w:val="000000"/>
        </w:rPr>
      </w:pPr>
    </w:p>
    <w:p w:rsidR="00EC48ED" w:rsidP="00EC48ED" w:rsidRDefault="00EC48ED">
      <w:pPr>
        <w:rPr>
          <w:color w:val="000000"/>
        </w:rPr>
      </w:pPr>
      <w:r>
        <w:rPr>
          <w:color w:val="000000"/>
        </w:rPr>
        <w:t>Normally students may commence the academic modules at level 5 carrying no more than one fail in an academic module at level 4.  The academic fail must be redeemed by the end of semester one in level 5.  No work will be ratified at the higher level until the previous failure has been redeemed.  Students will not be able to proceed to placement until all level 4 modules have been passed, including attendance requirements.</w:t>
      </w:r>
    </w:p>
    <w:p w:rsidR="00EC48ED" w:rsidP="00EC48ED" w:rsidRDefault="00EC48ED">
      <w:pPr>
        <w:rPr>
          <w:color w:val="000000"/>
        </w:rPr>
      </w:pPr>
    </w:p>
    <w:p w:rsidR="00EC48ED" w:rsidP="00EC48ED" w:rsidRDefault="00EC48ED">
      <w:pPr>
        <w:rPr>
          <w:color w:val="000000"/>
        </w:rPr>
      </w:pPr>
      <w:r>
        <w:rPr>
          <w:color w:val="000000"/>
        </w:rPr>
        <w:t>Normally students may commence the academic modules at level 6 carrying no more than one fail in an academic module at level 5.  The academic fail must be redeemed by the end of semester one in level 6.  No work will be ratified at the higher level until the previous failure has been redeemed.</w:t>
      </w:r>
    </w:p>
    <w:p w:rsidR="00EC48ED" w:rsidP="00EC48ED" w:rsidRDefault="00EC48ED">
      <w:pPr>
        <w:pStyle w:val="Heading4"/>
        <w:rPr>
          <w:rFonts w:eastAsia="Times New Roman"/>
        </w:rPr>
      </w:pPr>
    </w:p>
    <w:p w:rsidR="00EC48ED" w:rsidP="00EC48ED" w:rsidRDefault="00EC48ED">
      <w:pPr>
        <w:pStyle w:val="Heading4"/>
        <w:rPr>
          <w:rFonts w:eastAsia="Times New Roman"/>
          <w:color w:val="76923C"/>
        </w:rPr>
      </w:pPr>
      <w:r>
        <w:rPr>
          <w:rFonts w:eastAsia="Times New Roman"/>
        </w:rPr>
        <w:t>Awards of the university</w:t>
      </w:r>
    </w:p>
    <w:p w:rsidR="00EC48ED" w:rsidP="00EC48ED" w:rsidRDefault="00EC48ED">
      <w:pPr>
        <w:rPr>
          <w:color w:val="000000"/>
        </w:rPr>
      </w:pPr>
      <w:r>
        <w:rPr>
          <w:color w:val="000000"/>
        </w:rPr>
        <w:t>Classification will be based upon the best 150 from 165 level 5 and 6 credits, triple-weighted towards level 6.</w:t>
      </w:r>
    </w:p>
    <w:p w:rsidR="001C42AD" w:rsidP="00D92199" w:rsidRDefault="001C42AD"/>
    <w:p w:rsidR="0073533C" w:rsidP="00D92199" w:rsidRDefault="0073533C"/>
    <w:p w:rsidR="002A5FDA" w:rsidP="002A5FDA" w:rsidRDefault="002A5FDA">
      <w:pPr>
        <w:pStyle w:val="additionalprogrammeheading"/>
      </w:pPr>
      <w:r>
        <w:t xml:space="preserve">Specialist Community Public Health Nursing BSc (Hons), B71046 </w:t>
      </w:r>
      <w:r>
        <w:br/>
        <w:t xml:space="preserve"> (Health Visiting)/(School Nursing)</w:t>
      </w:r>
    </w:p>
    <w:p w:rsidRPr="00D91612" w:rsidR="002A5FDA" w:rsidP="002A5FDA" w:rsidRDefault="002A5FDA">
      <w:pPr>
        <w:pStyle w:val="NoSpacing"/>
      </w:pPr>
      <w:r>
        <w:t>Nursing and Midwifery Council (NMC)</w:t>
      </w:r>
    </w:p>
    <w:p w:rsidR="002A5FDA" w:rsidP="002A5FDA" w:rsidRDefault="002A5FDA">
      <w:pPr>
        <w:pStyle w:val="headingunderline"/>
      </w:pPr>
    </w:p>
    <w:p w:rsidR="002A5FDA" w:rsidP="002A5FDA" w:rsidRDefault="002A5FDA">
      <w:pPr>
        <w:pStyle w:val="Heading4"/>
      </w:pPr>
      <w:r>
        <w:t>Passing a module/Compensation</w:t>
      </w:r>
    </w:p>
    <w:p w:rsidR="002A5FDA" w:rsidP="002A5FDA" w:rsidRDefault="002A5FDA">
      <w:r>
        <w:t>All module components must be passed at 40 per cent. All zero-credit (pass/fail) components must be passed.</w:t>
      </w:r>
      <w:r w:rsidRPr="00FD5E4C">
        <w:t xml:space="preserve"> </w:t>
      </w:r>
      <w:r>
        <w:t>No compensation is available.</w:t>
      </w:r>
    </w:p>
    <w:p w:rsidR="002A5FDA" w:rsidP="002A5FDA" w:rsidRDefault="002A5FDA"/>
    <w:p w:rsidR="002A5FDA" w:rsidP="002A5FDA" w:rsidRDefault="002A5FDA">
      <w:pPr>
        <w:pStyle w:val="Heading4"/>
      </w:pPr>
      <w:r>
        <w:t>Reassessment of failure</w:t>
      </w:r>
    </w:p>
    <w:p w:rsidR="002A5FDA" w:rsidP="002A5FDA" w:rsidRDefault="002A5FDA">
      <w:r>
        <w:t>A student will have a maximum of 60 credits of reassessment opportunities at each level of study.</w:t>
      </w:r>
    </w:p>
    <w:p w:rsidR="002A5FDA" w:rsidP="002A5FDA" w:rsidRDefault="002A5FDA"/>
    <w:p w:rsidR="002A5FDA" w:rsidP="002A5FDA" w:rsidRDefault="002A5FDA">
      <w:pPr>
        <w:pStyle w:val="Heading4"/>
      </w:pPr>
      <w:r>
        <w:t xml:space="preserve">Classification of awards </w:t>
      </w:r>
      <w:r>
        <w:tab/>
      </w:r>
    </w:p>
    <w:p w:rsidR="002A5FDA" w:rsidP="002A5FDA" w:rsidRDefault="002A5FDA">
      <w:r>
        <w:t>This is a level 6 programme and is therefore classified on the best 105 level 6 credits.</w:t>
      </w:r>
    </w:p>
    <w:p w:rsidR="002A5FDA" w:rsidP="002A5FDA" w:rsidRDefault="002A5FDA"/>
    <w:p w:rsidR="002A5FDA" w:rsidP="002A5FDA" w:rsidRDefault="002A5FDA">
      <w:pPr>
        <w:pStyle w:val="Heading4"/>
      </w:pPr>
      <w:r>
        <w:t xml:space="preserve">Unsafe practice </w:t>
      </w:r>
    </w:p>
    <w:p w:rsidR="00872A3B" w:rsidP="00B47678" w:rsidRDefault="002A5FDA">
      <w:r>
        <w:t>Where an element of failure relates to unsafe practice, in either theory or practice, the module will be failed with a mark of zero per cent.</w:t>
      </w:r>
    </w:p>
    <w:p w:rsidR="00872A3B" w:rsidP="00B47678" w:rsidRDefault="00872A3B"/>
    <w:p w:rsidR="00E9400A" w:rsidP="00B47678" w:rsidRDefault="00E9400A"/>
    <w:p w:rsidR="00615E6C" w:rsidP="00615E6C" w:rsidRDefault="00615E6C">
      <w:pPr>
        <w:pStyle w:val="Heading3"/>
      </w:pPr>
      <w:bookmarkStart w:name="_Toc507515655" w:id="19"/>
      <w:r>
        <w:t>Speech and Language Therapy BSc (Hons), B60051</w:t>
      </w:r>
      <w:bookmarkEnd w:id="19"/>
      <w:r>
        <w:t xml:space="preserve"> </w:t>
      </w:r>
    </w:p>
    <w:p w:rsidR="00615E6C" w:rsidP="00615E6C" w:rsidRDefault="007B4D7B">
      <w:pPr>
        <w:pStyle w:val="NoSpacing"/>
      </w:pPr>
      <w:r>
        <w:t xml:space="preserve">Health and </w:t>
      </w:r>
      <w:r w:rsidR="00615E6C">
        <w:t>Care Professions Council</w:t>
      </w:r>
      <w:r>
        <w:t xml:space="preserve"> (HCPC)</w:t>
      </w:r>
    </w:p>
    <w:p w:rsidR="00615E6C" w:rsidP="004D52F7" w:rsidRDefault="00615E6C">
      <w:pPr>
        <w:pStyle w:val="headingunderline"/>
      </w:pPr>
    </w:p>
    <w:p w:rsidR="004D52F7" w:rsidP="004D52F7" w:rsidRDefault="00E24491">
      <w:pPr>
        <w:pStyle w:val="Heading4"/>
      </w:pPr>
      <w:r>
        <w:t>Passing a module/</w:t>
      </w:r>
      <w:r w:rsidR="004D52F7">
        <w:t>Compensation</w:t>
      </w:r>
    </w:p>
    <w:p w:rsidR="00E24491" w:rsidP="004D52F7" w:rsidRDefault="00E24491">
      <w:r>
        <w:t>All modules are must-pass modules and students must achieve a pass mark of 40 per cent.</w:t>
      </w:r>
      <w:r w:rsidRPr="00A21C4D">
        <w:t xml:space="preserve"> </w:t>
      </w:r>
      <w:r w:rsidR="004424E1">
        <w:t>No compensation is available.</w:t>
      </w:r>
    </w:p>
    <w:p w:rsidR="004D52F7" w:rsidP="004D52F7" w:rsidRDefault="004D52F7"/>
    <w:p w:rsidR="00E24491" w:rsidP="00E24491" w:rsidRDefault="00E24491">
      <w:pPr>
        <w:pStyle w:val="Heading4"/>
      </w:pPr>
      <w:r>
        <w:t>Reassessment of failure</w:t>
      </w:r>
    </w:p>
    <w:p w:rsidR="00E24491" w:rsidP="00E24491" w:rsidRDefault="00E24491">
      <w:r>
        <w:t>A student will have a maximum of 90 credits of reassessment opportunities at each level of study.</w:t>
      </w:r>
    </w:p>
    <w:p w:rsidR="00E24491" w:rsidP="00E24491" w:rsidRDefault="00E24491"/>
    <w:p w:rsidR="00E24491" w:rsidP="00E24491" w:rsidRDefault="00E24491">
      <w:pPr>
        <w:pStyle w:val="Heading5"/>
      </w:pPr>
      <w:r>
        <w:t>Failure in clinical practice</w:t>
      </w:r>
    </w:p>
    <w:p w:rsidR="00E24491" w:rsidP="00E24491" w:rsidRDefault="00E24491">
      <w:r>
        <w:t>Students who fail SALT2201 (professional practice 2) may have only two reassessment opportunities for that module. Students exceeding this will only be eligible to continue on a route for an academic award without eligibility for state registration.</w:t>
      </w:r>
    </w:p>
    <w:p w:rsidR="00E24491" w:rsidP="00E24491" w:rsidRDefault="00E24491"/>
    <w:p w:rsidR="00E24491" w:rsidP="00E24491" w:rsidRDefault="00E24491">
      <w:r>
        <w:t>Students who fail SALT3202 (professional practice 3) due to failure in the clinical placement report completed by their clinical educator (but not the coursework assignment and clinical viva) may have only one reassessment opportunity. Students who fail SALT3202 due to failure in the coursework assignment and clinical viva may have only two reassessment opportunities. Students exceeding this will only be eligible for an academic award without eligibility for state registration.</w:t>
      </w:r>
    </w:p>
    <w:p w:rsidR="00E24491" w:rsidP="00E24491" w:rsidRDefault="00E24491"/>
    <w:p w:rsidR="004D52F7" w:rsidP="004D52F7" w:rsidRDefault="004D52F7">
      <w:pPr>
        <w:pStyle w:val="Heading4"/>
      </w:pPr>
      <w:r>
        <w:t>Progression between undergraduate levels of study</w:t>
      </w:r>
      <w:r>
        <w:tab/>
      </w:r>
    </w:p>
    <w:p w:rsidR="004D52F7" w:rsidP="00E24491" w:rsidRDefault="004D52F7">
      <w:pPr>
        <w:pStyle w:val="Heading5"/>
      </w:pPr>
      <w:r>
        <w:t>Full-time students</w:t>
      </w:r>
    </w:p>
    <w:p w:rsidR="004D52F7" w:rsidP="004D52F7" w:rsidRDefault="004D52F7">
      <w:r>
        <w:t>Students may normally only proceed into year two on successful completion of all level 4 modules except students may proceed carrying one failed component of SALT1008, Introduction to phonetics and phonology, (practical phonetics component, threshold 66</w:t>
      </w:r>
      <w:r w:rsidR="001A2697">
        <w:t xml:space="preserve"> per cent</w:t>
      </w:r>
      <w:r>
        <w:t>), providing this is retrieved by the end of the second year.</w:t>
      </w:r>
    </w:p>
    <w:p w:rsidR="004D52F7" w:rsidP="004D52F7" w:rsidRDefault="004D52F7"/>
    <w:p w:rsidR="004D52F7" w:rsidP="004D52F7" w:rsidRDefault="004D52F7">
      <w:r>
        <w:t>Students may normally only proceed into year three on successful completion of all level 5 modules except students may proceed carrying one failed component of SALT2202, clinical linguistic assessments (practical phonetics component, threshold 66</w:t>
      </w:r>
      <w:r w:rsidR="001A2697">
        <w:t xml:space="preserve"> per cent</w:t>
      </w:r>
      <w:r>
        <w:t>), providing that this is retrieved by the end of the third year.</w:t>
      </w:r>
    </w:p>
    <w:p w:rsidR="004D52F7" w:rsidP="004D52F7" w:rsidRDefault="004D52F7"/>
    <w:p w:rsidR="004D52F7" w:rsidP="004D52F7" w:rsidRDefault="004D52F7">
      <w:pPr>
        <w:pStyle w:val="Heading4"/>
      </w:pPr>
      <w:r>
        <w:t>Progression of part-time undergraduate students</w:t>
      </w:r>
    </w:p>
    <w:p w:rsidR="004D52F7" w:rsidP="004D52F7" w:rsidRDefault="004D52F7">
      <w:r>
        <w:t xml:space="preserve">Students studying part-time must normally successfully complete all modules in each year of study before proceeding to the next except students may proceed carrying one failed component of SALT1008, </w:t>
      </w:r>
      <w:r w:rsidR="00E24491">
        <w:t>introduction</w:t>
      </w:r>
      <w:r>
        <w:t xml:space="preserve"> to phonetics and phonology (as</w:t>
      </w:r>
      <w:r w:rsidR="001A2697">
        <w:t xml:space="preserve"> paragraph one </w:t>
      </w:r>
      <w:r>
        <w:t xml:space="preserve">above), and SALT2202, clinical linguistic assessments (as paragraph </w:t>
      </w:r>
      <w:r w:rsidR="001A2697">
        <w:t>two</w:t>
      </w:r>
      <w:r>
        <w:t xml:space="preserve"> above), provided the failed component is retrieved in the next year of study.</w:t>
      </w:r>
    </w:p>
    <w:p w:rsidR="004D52F7" w:rsidP="004D52F7" w:rsidRDefault="004D52F7"/>
    <w:p w:rsidR="004D52F7" w:rsidP="00E24491" w:rsidRDefault="001A2697">
      <w:pPr>
        <w:pStyle w:val="Heading4"/>
      </w:pPr>
      <w:r>
        <w:t>Fitness to practice</w:t>
      </w:r>
    </w:p>
    <w:p w:rsidR="004D52F7" w:rsidP="004D52F7" w:rsidRDefault="004D52F7">
      <w:r>
        <w:t>In order to attend practice placements and to be eligible to apply for professional registration students must be in sufficiently good mental and physical health to be able to practise without risk to themselves or others.</w:t>
      </w:r>
      <w:r w:rsidR="005304DE">
        <w:t xml:space="preserve"> </w:t>
      </w:r>
      <w:r>
        <w:t>Students must notify the programme leader or deputy if they experience changes to their health status which might have an impact upon fitness to practise.</w:t>
      </w:r>
      <w:r w:rsidR="005304DE">
        <w:t xml:space="preserve"> </w:t>
      </w:r>
      <w:r>
        <w:t>Students about whom there are serious concerns over professional conduct or fitness to practise may be withdrawn from practice placements during investigation of the concerns.</w:t>
      </w:r>
    </w:p>
    <w:p w:rsidR="004D52F7" w:rsidP="004D52F7" w:rsidRDefault="004D52F7"/>
    <w:p w:rsidR="004D52F7" w:rsidP="001A2697" w:rsidRDefault="004D52F7">
      <w:r>
        <w:t>Students must attend</w:t>
      </w:r>
      <w:r w:rsidR="001A2697">
        <w:t xml:space="preserve"> for occupational health</w:t>
      </w:r>
      <w:r>
        <w:t xml:space="preserve"> assessment if asked to do so by the programme leader or deputy.</w:t>
      </w:r>
      <w:r w:rsidR="005304DE">
        <w:t xml:space="preserve"> </w:t>
      </w:r>
      <w:r>
        <w:t xml:space="preserve">Students who experience such health issues as render them unable to practise safely and effectively may, at the discretion of the </w:t>
      </w:r>
      <w:r w:rsidR="001A2697">
        <w:t>assessment board</w:t>
      </w:r>
      <w:r>
        <w:t xml:space="preserve">, be unable to pursue the professional programme. </w:t>
      </w:r>
    </w:p>
    <w:p w:rsidR="00E24491" w:rsidP="00E24491" w:rsidRDefault="00E24491"/>
    <w:p w:rsidR="00E24491" w:rsidP="00E24491" w:rsidRDefault="00E24491">
      <w:pPr>
        <w:pStyle w:val="Heading4"/>
      </w:pPr>
      <w:r>
        <w:t>Repeating an undergraduate level of study</w:t>
      </w:r>
    </w:p>
    <w:p w:rsidR="00E24491" w:rsidP="00E24491" w:rsidRDefault="00E24491">
      <w:r>
        <w:t>Students are not permitted to repeat an undergraduate level of study.</w:t>
      </w:r>
    </w:p>
    <w:p w:rsidR="00E24491" w:rsidP="00615E6C" w:rsidRDefault="00E24491"/>
    <w:p w:rsidR="00E24491" w:rsidP="00E24491" w:rsidRDefault="00E24491">
      <w:pPr>
        <w:pStyle w:val="Heading4"/>
      </w:pPr>
      <w:bookmarkStart w:name="_Hlk31016249" w:id="20"/>
      <w:r>
        <w:t>Awards of the university</w:t>
      </w:r>
    </w:p>
    <w:p w:rsidR="00E24491" w:rsidP="00E24491" w:rsidRDefault="00E24491">
      <w:r>
        <w:t>In exceptional circumstances it is possible for students to transfer to a non-clinical route. In this case students will be awarded an honours or non-honours degree but without the professional qualification or eligibility to apply to the HCPC for state registration or to the Royal College of Speech and Language Therapists for a certificate of eligibility to practise. The title of this degree will be BSc Human Communication. Any student in this position should discuss options with the programme leader. Awards and progression on a non-clinical route will be subject to generic regulations.</w:t>
      </w:r>
    </w:p>
    <w:bookmarkEnd w:id="20"/>
    <w:p w:rsidR="00E24491" w:rsidP="00615E6C" w:rsidRDefault="00E24491"/>
    <w:p w:rsidR="004D52F7" w:rsidP="00615E6C" w:rsidRDefault="004D52F7"/>
    <w:p w:rsidR="00615E6C" w:rsidP="00615E6C" w:rsidRDefault="00615E6C">
      <w:pPr>
        <w:pStyle w:val="Heading3"/>
      </w:pPr>
      <w:bookmarkStart w:name="_Toc507515656" w:id="21"/>
      <w:r>
        <w:t>Youth Work and Community Development BA (Hons), L53044</w:t>
      </w:r>
      <w:bookmarkEnd w:id="21"/>
    </w:p>
    <w:p w:rsidR="00615E6C" w:rsidP="00615E6C" w:rsidRDefault="00615E6C">
      <w:pPr>
        <w:pStyle w:val="NoSpacing"/>
      </w:pPr>
      <w:r>
        <w:t>National Youth Agency</w:t>
      </w:r>
      <w:r w:rsidR="00F5462E">
        <w:t xml:space="preserve"> (NYA)</w:t>
      </w:r>
    </w:p>
    <w:p w:rsidR="00615E6C" w:rsidP="00615E6C" w:rsidRDefault="00615E6C">
      <w:pPr>
        <w:pStyle w:val="headingunderline"/>
      </w:pPr>
    </w:p>
    <w:p w:rsidR="00615E6C" w:rsidP="00615E6C" w:rsidRDefault="007B4D7B">
      <w:pPr>
        <w:pStyle w:val="Heading4"/>
      </w:pPr>
      <w:r>
        <w:t>Passing a module</w:t>
      </w:r>
      <w:r w:rsidR="00E24491">
        <w:t>/Compensation</w:t>
      </w:r>
    </w:p>
    <w:p w:rsidR="00615E6C" w:rsidP="00615E6C" w:rsidRDefault="00615E6C">
      <w:r>
        <w:t>All module components must be passed at 40 per cent.</w:t>
      </w:r>
      <w:r w:rsidR="00E24491">
        <w:t xml:space="preserve"> No compensation is available.</w:t>
      </w:r>
    </w:p>
    <w:p w:rsidR="00C23EFD" w:rsidP="00615E6C" w:rsidRDefault="00C23EFD"/>
    <w:p w:rsidR="004424E1" w:rsidP="004424E1" w:rsidRDefault="004424E1">
      <w:pPr>
        <w:pStyle w:val="Heading4"/>
      </w:pPr>
      <w:r>
        <w:t>Reassessment of failure</w:t>
      </w:r>
    </w:p>
    <w:p w:rsidR="004424E1" w:rsidP="004424E1" w:rsidRDefault="004424E1">
      <w:r>
        <w:t>A student will have a maximum of 90 credits of reassessment opportunities at each of levels 4 and 5.</w:t>
      </w:r>
    </w:p>
    <w:p w:rsidR="00615E6C" w:rsidP="00615E6C" w:rsidRDefault="00615E6C"/>
    <w:p w:rsidR="007B4D7B" w:rsidP="007B4D7B" w:rsidRDefault="007B4D7B">
      <w:pPr>
        <w:pStyle w:val="Heading4"/>
      </w:pPr>
      <w:r>
        <w:t>Progression between undergraduate levels of study</w:t>
      </w:r>
    </w:p>
    <w:p w:rsidR="00C23EFD" w:rsidP="00615E6C" w:rsidRDefault="00C23EFD"/>
    <w:p w:rsidR="00615E6C" w:rsidP="00615E6C" w:rsidRDefault="00615E6C">
      <w:r>
        <w:t xml:space="preserve">The attendance requirement for the programme is 80 per cent attendance for each </w:t>
      </w:r>
      <w:r w:rsidR="007B4D7B">
        <w:t>level</w:t>
      </w:r>
      <w:r>
        <w:t xml:space="preserve">. If a student achieves between 70-80 per cent attendances for the level, they can retrieve the </w:t>
      </w:r>
      <w:r w:rsidRPr="00D83599">
        <w:t xml:space="preserve">failure during the reassessment period by completing additional work set by the programme team. If a student fails the attendance requirement they will automatically be transferred to the </w:t>
      </w:r>
      <w:proofErr w:type="gramStart"/>
      <w:r w:rsidRPr="00D83599">
        <w:t>Non PQ</w:t>
      </w:r>
      <w:proofErr w:type="gramEnd"/>
      <w:r w:rsidRPr="00D83599">
        <w:t xml:space="preserve"> programme.</w:t>
      </w:r>
      <w:r w:rsidR="008C7231">
        <w:t xml:space="preserve"> </w:t>
      </w:r>
    </w:p>
    <w:p w:rsidR="00615E6C" w:rsidP="00615E6C" w:rsidRDefault="00615E6C"/>
    <w:p w:rsidR="00290C24" w:rsidP="00D170B2" w:rsidRDefault="00290C24">
      <w:pPr>
        <w:kinsoku w:val="0"/>
        <w:overflowPunct w:val="0"/>
        <w:spacing w:line="276" w:lineRule="auto"/>
        <w:ind w:right="122"/>
        <w:jc w:val="both"/>
        <w:rPr>
          <w:rFonts w:cs="Arial" w:asciiTheme="majorHAnsi" w:hAnsiTheme="majorHAnsi"/>
        </w:rPr>
      </w:pPr>
    </w:p>
    <w:p w:rsidR="00A05969" w:rsidP="00D170B2" w:rsidRDefault="00A05969">
      <w:pPr>
        <w:kinsoku w:val="0"/>
        <w:overflowPunct w:val="0"/>
        <w:spacing w:line="276" w:lineRule="auto"/>
        <w:ind w:right="122"/>
        <w:jc w:val="both"/>
        <w:rPr>
          <w:rFonts w:cs="Arial" w:asciiTheme="majorHAnsi" w:hAnsiTheme="majorHAnsi"/>
        </w:rPr>
      </w:pPr>
    </w:p>
    <w:p w:rsidR="00A05969" w:rsidP="00D170B2" w:rsidRDefault="00A05969">
      <w:pPr>
        <w:kinsoku w:val="0"/>
        <w:overflowPunct w:val="0"/>
        <w:spacing w:line="276" w:lineRule="auto"/>
        <w:ind w:right="122"/>
        <w:jc w:val="both"/>
        <w:rPr>
          <w:rFonts w:cs="Arial" w:asciiTheme="majorHAnsi" w:hAnsiTheme="majorHAnsi"/>
        </w:rPr>
      </w:pPr>
    </w:p>
    <w:p w:rsidR="00A05969" w:rsidP="00D170B2" w:rsidRDefault="00A05969">
      <w:pPr>
        <w:kinsoku w:val="0"/>
        <w:overflowPunct w:val="0"/>
        <w:spacing w:line="276" w:lineRule="auto"/>
        <w:ind w:right="122"/>
        <w:jc w:val="both"/>
        <w:rPr>
          <w:rFonts w:cs="Arial" w:asciiTheme="majorHAnsi" w:hAnsiTheme="majorHAnsi"/>
        </w:rPr>
      </w:pPr>
    </w:p>
    <w:p w:rsidR="00A05969" w:rsidP="00D170B2" w:rsidRDefault="00A05969">
      <w:pPr>
        <w:kinsoku w:val="0"/>
        <w:overflowPunct w:val="0"/>
        <w:spacing w:line="276" w:lineRule="auto"/>
        <w:ind w:right="122"/>
        <w:jc w:val="both"/>
        <w:rPr>
          <w:rFonts w:cs="Arial" w:asciiTheme="majorHAnsi" w:hAnsiTheme="majorHAnsi"/>
        </w:rPr>
      </w:pPr>
    </w:p>
    <w:p w:rsidR="00A05969" w:rsidP="00D170B2" w:rsidRDefault="00A05969">
      <w:pPr>
        <w:kinsoku w:val="0"/>
        <w:overflowPunct w:val="0"/>
        <w:spacing w:line="276" w:lineRule="auto"/>
        <w:ind w:right="122"/>
        <w:jc w:val="both"/>
        <w:rPr>
          <w:rFonts w:cs="Arial" w:asciiTheme="majorHAnsi" w:hAnsiTheme="majorHAnsi"/>
        </w:rPr>
      </w:pPr>
    </w:p>
    <w:p w:rsidR="00A05969" w:rsidP="00D170B2" w:rsidRDefault="00A05969">
      <w:pPr>
        <w:kinsoku w:val="0"/>
        <w:overflowPunct w:val="0"/>
        <w:spacing w:line="276" w:lineRule="auto"/>
        <w:ind w:right="122"/>
        <w:jc w:val="both"/>
        <w:rPr>
          <w:rFonts w:cs="Arial" w:asciiTheme="majorHAnsi" w:hAnsiTheme="majorHAnsi"/>
        </w:rPr>
      </w:pPr>
    </w:p>
    <w:p w:rsidR="00A05969" w:rsidP="00D170B2" w:rsidRDefault="00A05969">
      <w:pPr>
        <w:kinsoku w:val="0"/>
        <w:overflowPunct w:val="0"/>
        <w:spacing w:line="276" w:lineRule="auto"/>
        <w:ind w:right="122"/>
        <w:jc w:val="both"/>
        <w:rPr>
          <w:rFonts w:cs="Arial" w:asciiTheme="majorHAnsi" w:hAnsiTheme="majorHAnsi"/>
        </w:rPr>
      </w:pPr>
    </w:p>
    <w:p w:rsidR="00C6011B" w:rsidP="00D170B2" w:rsidRDefault="00C6011B">
      <w:pPr>
        <w:kinsoku w:val="0"/>
        <w:overflowPunct w:val="0"/>
        <w:spacing w:line="276" w:lineRule="auto"/>
        <w:ind w:right="122"/>
        <w:jc w:val="both"/>
        <w:rPr>
          <w:rFonts w:cs="Arial" w:asciiTheme="majorHAnsi" w:hAnsiTheme="majorHAnsi"/>
        </w:rPr>
      </w:pPr>
    </w:p>
    <w:p w:rsidR="00C6011B" w:rsidP="00D170B2" w:rsidRDefault="00C6011B">
      <w:pPr>
        <w:kinsoku w:val="0"/>
        <w:overflowPunct w:val="0"/>
        <w:spacing w:line="276" w:lineRule="auto"/>
        <w:ind w:right="122"/>
        <w:jc w:val="both"/>
        <w:rPr>
          <w:rFonts w:cs="Arial" w:asciiTheme="majorHAnsi" w:hAnsiTheme="majorHAnsi"/>
        </w:rPr>
      </w:pPr>
    </w:p>
    <w:p w:rsidR="00C6011B" w:rsidP="00D170B2" w:rsidRDefault="00C6011B">
      <w:pPr>
        <w:kinsoku w:val="0"/>
        <w:overflowPunct w:val="0"/>
        <w:spacing w:line="276" w:lineRule="auto"/>
        <w:ind w:right="122"/>
        <w:jc w:val="both"/>
        <w:rPr>
          <w:rFonts w:cs="Arial" w:asciiTheme="majorHAnsi" w:hAnsiTheme="majorHAnsi"/>
        </w:rPr>
      </w:pPr>
    </w:p>
    <w:p w:rsidR="00C6011B" w:rsidP="00D170B2" w:rsidRDefault="00C6011B">
      <w:pPr>
        <w:kinsoku w:val="0"/>
        <w:overflowPunct w:val="0"/>
        <w:spacing w:line="276" w:lineRule="auto"/>
        <w:ind w:right="122"/>
        <w:jc w:val="both"/>
        <w:rPr>
          <w:rFonts w:cs="Arial" w:asciiTheme="majorHAnsi" w:hAnsiTheme="majorHAnsi"/>
        </w:rPr>
      </w:pPr>
    </w:p>
    <w:p w:rsidR="00C6011B" w:rsidP="00D170B2" w:rsidRDefault="00C6011B">
      <w:pPr>
        <w:kinsoku w:val="0"/>
        <w:overflowPunct w:val="0"/>
        <w:spacing w:line="276" w:lineRule="auto"/>
        <w:ind w:right="122"/>
        <w:jc w:val="both"/>
        <w:rPr>
          <w:rFonts w:cs="Arial" w:asciiTheme="majorHAnsi" w:hAnsiTheme="majorHAnsi"/>
        </w:rPr>
      </w:pPr>
    </w:p>
    <w:p w:rsidR="00C6011B" w:rsidP="00D170B2" w:rsidRDefault="00C6011B">
      <w:pPr>
        <w:kinsoku w:val="0"/>
        <w:overflowPunct w:val="0"/>
        <w:spacing w:line="276" w:lineRule="auto"/>
        <w:ind w:right="122"/>
        <w:jc w:val="both"/>
        <w:rPr>
          <w:rFonts w:cs="Arial" w:asciiTheme="majorHAnsi" w:hAnsiTheme="majorHAnsi"/>
        </w:rPr>
      </w:pPr>
    </w:p>
    <w:p w:rsidR="00C6011B" w:rsidP="00D170B2" w:rsidRDefault="00C6011B">
      <w:pPr>
        <w:kinsoku w:val="0"/>
        <w:overflowPunct w:val="0"/>
        <w:spacing w:line="276" w:lineRule="auto"/>
        <w:ind w:right="122"/>
        <w:jc w:val="both"/>
        <w:rPr>
          <w:rFonts w:cs="Arial" w:asciiTheme="majorHAnsi" w:hAnsiTheme="majorHAnsi"/>
        </w:rPr>
      </w:pPr>
    </w:p>
    <w:p w:rsidR="00C6011B" w:rsidP="00D170B2" w:rsidRDefault="00C6011B">
      <w:pPr>
        <w:kinsoku w:val="0"/>
        <w:overflowPunct w:val="0"/>
        <w:spacing w:line="276" w:lineRule="auto"/>
        <w:ind w:right="122"/>
        <w:jc w:val="both"/>
        <w:rPr>
          <w:rFonts w:cs="Arial" w:asciiTheme="majorHAnsi" w:hAnsiTheme="majorHAnsi"/>
        </w:rPr>
      </w:pPr>
    </w:p>
    <w:p w:rsidR="00C6011B" w:rsidP="00D170B2" w:rsidRDefault="00C6011B">
      <w:pPr>
        <w:kinsoku w:val="0"/>
        <w:overflowPunct w:val="0"/>
        <w:spacing w:line="276" w:lineRule="auto"/>
        <w:ind w:right="122"/>
        <w:jc w:val="both"/>
        <w:rPr>
          <w:rFonts w:cs="Arial" w:asciiTheme="majorHAnsi" w:hAnsiTheme="majorHAnsi"/>
        </w:rPr>
      </w:pPr>
    </w:p>
    <w:p w:rsidR="00C6011B" w:rsidP="00D170B2" w:rsidRDefault="00C6011B">
      <w:pPr>
        <w:kinsoku w:val="0"/>
        <w:overflowPunct w:val="0"/>
        <w:spacing w:line="276" w:lineRule="auto"/>
        <w:ind w:right="122"/>
        <w:jc w:val="both"/>
        <w:rPr>
          <w:rFonts w:cs="Arial" w:asciiTheme="majorHAnsi" w:hAnsiTheme="majorHAnsi"/>
        </w:rPr>
      </w:pPr>
    </w:p>
    <w:p w:rsidR="00C6011B" w:rsidP="00D170B2" w:rsidRDefault="00C6011B">
      <w:pPr>
        <w:kinsoku w:val="0"/>
        <w:overflowPunct w:val="0"/>
        <w:spacing w:line="276" w:lineRule="auto"/>
        <w:ind w:right="122"/>
        <w:jc w:val="both"/>
        <w:rPr>
          <w:rFonts w:cs="Arial" w:asciiTheme="majorHAnsi" w:hAnsiTheme="majorHAnsi"/>
        </w:rPr>
      </w:pPr>
    </w:p>
    <w:p w:rsidR="00076F0E" w:rsidP="00D170B2" w:rsidRDefault="00076F0E">
      <w:pPr>
        <w:kinsoku w:val="0"/>
        <w:overflowPunct w:val="0"/>
        <w:spacing w:line="276" w:lineRule="auto"/>
        <w:ind w:right="122"/>
        <w:jc w:val="both"/>
        <w:rPr>
          <w:rFonts w:cs="Arial" w:asciiTheme="majorHAnsi" w:hAnsiTheme="majorHAnsi"/>
        </w:rPr>
      </w:pPr>
    </w:p>
    <w:p w:rsidR="00935F34" w:rsidP="00935F34" w:rsidRDefault="00935F34">
      <w:pPr>
        <w:pStyle w:val="Heading2"/>
      </w:pPr>
      <w:r>
        <w:t xml:space="preserve">Postgraduate </w:t>
      </w:r>
    </w:p>
    <w:p w:rsidR="00FE026D" w:rsidP="00FE026D" w:rsidRDefault="00FE026D"/>
    <w:p w:rsidR="00104084" w:rsidP="00104084" w:rsidRDefault="00104084">
      <w:pPr>
        <w:pStyle w:val="NoSpacing"/>
      </w:pPr>
      <w:bookmarkStart w:name="_Applied_Health_Studies" w:id="22"/>
      <w:bookmarkEnd w:id="22"/>
      <w:r>
        <w:t>The following regulations apply to</w:t>
      </w:r>
      <w:r w:rsidR="009275F6">
        <w:t xml:space="preserve"> </w:t>
      </w:r>
      <w:r>
        <w:t xml:space="preserve">the </w:t>
      </w:r>
      <w:proofErr w:type="spellStart"/>
      <w:r>
        <w:t>programmes</w:t>
      </w:r>
      <w:proofErr w:type="spellEnd"/>
      <w:r>
        <w:t xml:space="preserve"> listed below:</w:t>
      </w:r>
    </w:p>
    <w:p w:rsidR="00942534" w:rsidP="00FE026D" w:rsidRDefault="00942534">
      <w:pPr>
        <w:pStyle w:val="Heading3"/>
      </w:pPr>
      <w:bookmarkStart w:name="_Toc507515658" w:id="23"/>
    </w:p>
    <w:p w:rsidR="00942534" w:rsidP="00942534" w:rsidRDefault="00942534">
      <w:pPr>
        <w:pStyle w:val="DarkList-Accent51"/>
        <w:pBdr>
          <w:bottom w:val="single" w:color="auto" w:sz="6" w:space="1"/>
        </w:pBdr>
        <w:ind w:left="0"/>
        <w:contextualSpacing w:val="0"/>
        <w:jc w:val="both"/>
        <w:rPr>
          <w:rFonts w:cs="Arial" w:asciiTheme="majorHAnsi" w:hAnsiTheme="majorHAnsi"/>
          <w:b/>
          <w:i/>
          <w:color w:val="548AB7" w:themeColor="accent1" w:themeShade="BF"/>
        </w:rPr>
      </w:pPr>
      <w:r w:rsidRPr="00942534">
        <w:rPr>
          <w:rFonts w:cs="Arial" w:asciiTheme="majorHAnsi" w:hAnsiTheme="majorHAnsi"/>
          <w:b/>
          <w:i/>
          <w:color w:val="548AB7" w:themeColor="accent1" w:themeShade="BF"/>
        </w:rPr>
        <w:t xml:space="preserve">MSc Advanced Clinical Practice </w:t>
      </w:r>
      <w:r>
        <w:rPr>
          <w:rFonts w:cs="Arial" w:asciiTheme="majorHAnsi" w:hAnsiTheme="majorHAnsi"/>
          <w:b/>
          <w:i/>
          <w:color w:val="548AB7" w:themeColor="accent1" w:themeShade="BF"/>
        </w:rPr>
        <w:t>B9008</w:t>
      </w:r>
      <w:r w:rsidR="00CD3338">
        <w:rPr>
          <w:rFonts w:cs="Arial" w:asciiTheme="majorHAnsi" w:hAnsiTheme="majorHAnsi"/>
          <w:b/>
          <w:i/>
          <w:color w:val="548AB7" w:themeColor="accent1" w:themeShade="BF"/>
        </w:rPr>
        <w:t>0/B90081</w:t>
      </w:r>
    </w:p>
    <w:p w:rsidRPr="000E138E" w:rsidR="000E138E" w:rsidP="00942534" w:rsidRDefault="000E138E">
      <w:pPr>
        <w:pStyle w:val="DarkList-Accent51"/>
        <w:pBdr>
          <w:bottom w:val="single" w:color="auto" w:sz="6" w:space="1"/>
        </w:pBdr>
        <w:ind w:left="0"/>
        <w:contextualSpacing w:val="0"/>
        <w:jc w:val="both"/>
        <w:rPr>
          <w:rFonts w:cs="Arial" w:asciiTheme="majorHAnsi" w:hAnsiTheme="majorHAnsi"/>
          <w:b/>
          <w:i/>
          <w:color w:val="548AB7" w:themeColor="accent1" w:themeShade="BF"/>
          <w:sz w:val="16"/>
          <w:szCs w:val="16"/>
        </w:rPr>
      </w:pPr>
    </w:p>
    <w:p w:rsidRPr="00942534" w:rsidR="00083D66" w:rsidP="00942534" w:rsidRDefault="00083D66">
      <w:pPr>
        <w:pStyle w:val="DarkList-Accent51"/>
        <w:ind w:left="0"/>
        <w:contextualSpacing w:val="0"/>
        <w:jc w:val="both"/>
        <w:rPr>
          <w:rFonts w:cs="Arial" w:asciiTheme="majorHAnsi" w:hAnsiTheme="majorHAnsi"/>
          <w:b/>
          <w:i/>
          <w:color w:val="548AB7" w:themeColor="accent1" w:themeShade="BF"/>
        </w:rPr>
      </w:pPr>
    </w:p>
    <w:p w:rsidRPr="00942534" w:rsidR="00942534" w:rsidP="00942534" w:rsidRDefault="00942534">
      <w:pPr>
        <w:pStyle w:val="DarkList-Accent51"/>
        <w:ind w:left="0"/>
        <w:contextualSpacing w:val="0"/>
        <w:rPr>
          <w:rFonts w:cs="Arial" w:asciiTheme="minorHAnsi" w:hAnsiTheme="minorHAnsi"/>
        </w:rPr>
      </w:pPr>
      <w:r w:rsidRPr="00942534">
        <w:rPr>
          <w:rFonts w:cs="Arial" w:asciiTheme="minorHAnsi" w:hAnsiTheme="minorHAnsi"/>
        </w:rPr>
        <w:t>The programmes incorporate a non-medical prescribing course, allowing students to legally undertake prescribing.  This course has different assessment criteria from the university’s regulations, which are set by the Nursing and Midwifery Council, the Health and Care Professions Council and the General Pharmaceutical Council:</w:t>
      </w:r>
    </w:p>
    <w:p w:rsidRPr="00942534" w:rsidR="00942534" w:rsidP="00942534" w:rsidRDefault="00942534">
      <w:pPr>
        <w:pStyle w:val="DarkList-Accent51"/>
        <w:ind w:left="0"/>
        <w:contextualSpacing w:val="0"/>
        <w:jc w:val="both"/>
        <w:rPr>
          <w:rFonts w:cs="Arial" w:asciiTheme="minorHAnsi" w:hAnsiTheme="minorHAnsi"/>
          <w:b/>
          <w:i/>
        </w:rPr>
      </w:pPr>
    </w:p>
    <w:p w:rsidRPr="00942534" w:rsidR="00942534" w:rsidP="00942534" w:rsidRDefault="00942534">
      <w:pPr>
        <w:pStyle w:val="ListParagraph"/>
        <w:numPr>
          <w:ilvl w:val="0"/>
          <w:numId w:val="5"/>
        </w:numPr>
        <w:tabs>
          <w:tab w:val="clear" w:pos="567"/>
        </w:tabs>
        <w:autoSpaceDE w:val="0"/>
        <w:autoSpaceDN w:val="0"/>
        <w:adjustRightInd w:val="0"/>
        <w:contextualSpacing w:val="0"/>
        <w:rPr>
          <w:rFonts w:cs="ArialMT" w:asciiTheme="minorHAnsi" w:hAnsiTheme="minorHAnsi"/>
        </w:rPr>
      </w:pPr>
      <w:r w:rsidRPr="00942534">
        <w:rPr>
          <w:rFonts w:cs="ArialMT" w:asciiTheme="minorHAnsi" w:hAnsiTheme="minorHAnsi"/>
        </w:rPr>
        <w:t>Students undertaking PRES5005 Applied Prescribing Module will have one resit opportunity for each part of the assessment (Reflection and Portfolio)</w:t>
      </w:r>
    </w:p>
    <w:p w:rsidRPr="00942534" w:rsidR="00942534" w:rsidP="00942534" w:rsidRDefault="00942534">
      <w:pPr>
        <w:pStyle w:val="ListParagraph"/>
        <w:numPr>
          <w:ilvl w:val="0"/>
          <w:numId w:val="5"/>
        </w:numPr>
        <w:tabs>
          <w:tab w:val="clear" w:pos="567"/>
        </w:tabs>
        <w:autoSpaceDE w:val="0"/>
        <w:autoSpaceDN w:val="0"/>
        <w:adjustRightInd w:val="0"/>
        <w:contextualSpacing w:val="0"/>
        <w:rPr>
          <w:rFonts w:cs="ArialMT" w:asciiTheme="minorHAnsi" w:hAnsiTheme="minorHAnsi"/>
        </w:rPr>
      </w:pPr>
      <w:r w:rsidRPr="00942534">
        <w:rPr>
          <w:rFonts w:cs="ArialMT" w:asciiTheme="minorHAnsi" w:hAnsiTheme="minorHAnsi"/>
        </w:rPr>
        <w:t>Students undertaking PRES5006 Pharmacology for Prescribers will have one resit opportunity for both the pharmacology exam and the assignment</w:t>
      </w:r>
    </w:p>
    <w:p w:rsidRPr="00942534" w:rsidR="00942534" w:rsidP="00942534" w:rsidRDefault="00942534">
      <w:pPr>
        <w:pStyle w:val="ListParagraph"/>
        <w:numPr>
          <w:ilvl w:val="0"/>
          <w:numId w:val="5"/>
        </w:numPr>
        <w:tabs>
          <w:tab w:val="clear" w:pos="567"/>
        </w:tabs>
        <w:autoSpaceDE w:val="0"/>
        <w:autoSpaceDN w:val="0"/>
        <w:adjustRightInd w:val="0"/>
        <w:contextualSpacing w:val="0"/>
        <w:rPr>
          <w:rFonts w:cs="ArialMT" w:asciiTheme="minorHAnsi" w:hAnsiTheme="minorHAnsi"/>
        </w:rPr>
      </w:pPr>
      <w:r w:rsidRPr="00942534">
        <w:rPr>
          <w:rFonts w:cs="ArialMT" w:asciiTheme="minorHAnsi" w:hAnsiTheme="minorHAnsi"/>
        </w:rPr>
        <w:t>Students undertaking PRES5006 Pharmacology for Prescribers will have one resit opportunity for the numeracy exam within the module.  If the student fails both the first and resit attempt they will be allowed one final resit opportunity after the assessment board</w:t>
      </w:r>
    </w:p>
    <w:p w:rsidRPr="00942534" w:rsidR="00942534" w:rsidP="00942534" w:rsidRDefault="00942534">
      <w:pPr>
        <w:pStyle w:val="ListParagraph"/>
        <w:numPr>
          <w:ilvl w:val="0"/>
          <w:numId w:val="5"/>
        </w:numPr>
        <w:tabs>
          <w:tab w:val="clear" w:pos="567"/>
        </w:tabs>
        <w:autoSpaceDE w:val="0"/>
        <w:autoSpaceDN w:val="0"/>
        <w:adjustRightInd w:val="0"/>
        <w:contextualSpacing w:val="0"/>
        <w:rPr>
          <w:rFonts w:cs="ArialMT" w:asciiTheme="minorHAnsi" w:hAnsiTheme="minorHAnsi"/>
        </w:rPr>
      </w:pPr>
      <w:r w:rsidRPr="00942534">
        <w:rPr>
          <w:rFonts w:cs="ArialMT" w:asciiTheme="minorHAnsi" w:hAnsiTheme="minorHAnsi"/>
        </w:rPr>
        <w:t>The pass mark for the pharmacology exam in PRES5006 is 80%</w:t>
      </w:r>
    </w:p>
    <w:p w:rsidR="00942534" w:rsidP="00942534" w:rsidRDefault="00942534">
      <w:pPr>
        <w:pStyle w:val="ListParagraph"/>
        <w:numPr>
          <w:ilvl w:val="0"/>
          <w:numId w:val="5"/>
        </w:numPr>
        <w:tabs>
          <w:tab w:val="clear" w:pos="567"/>
        </w:tabs>
        <w:autoSpaceDE w:val="0"/>
        <w:autoSpaceDN w:val="0"/>
        <w:adjustRightInd w:val="0"/>
        <w:contextualSpacing w:val="0"/>
        <w:rPr>
          <w:rFonts w:cs="ArialMT" w:asciiTheme="minorHAnsi" w:hAnsiTheme="minorHAnsi"/>
        </w:rPr>
      </w:pPr>
      <w:r w:rsidRPr="00942534">
        <w:rPr>
          <w:rFonts w:cs="ArialMT" w:asciiTheme="minorHAnsi" w:hAnsiTheme="minorHAnsi"/>
        </w:rPr>
        <w:t>The pass mark for the numeracy exam in PRES5006 is 100%</w:t>
      </w:r>
    </w:p>
    <w:p w:rsidR="000E138E" w:rsidP="00942534" w:rsidRDefault="000E138E">
      <w:pPr>
        <w:pStyle w:val="ListParagraph"/>
        <w:numPr>
          <w:ilvl w:val="0"/>
          <w:numId w:val="5"/>
        </w:numPr>
        <w:tabs>
          <w:tab w:val="clear" w:pos="567"/>
        </w:tabs>
        <w:autoSpaceDE w:val="0"/>
        <w:autoSpaceDN w:val="0"/>
        <w:adjustRightInd w:val="0"/>
        <w:contextualSpacing w:val="0"/>
        <w:rPr>
          <w:rFonts w:cs="ArialMT" w:asciiTheme="minorHAnsi" w:hAnsiTheme="minorHAnsi"/>
        </w:rPr>
      </w:pPr>
    </w:p>
    <w:p w:rsidR="000E138E" w:rsidP="000E138E" w:rsidRDefault="000E138E">
      <w:pPr>
        <w:autoSpaceDE w:val="0"/>
        <w:autoSpaceDN w:val="0"/>
        <w:adjustRightInd w:val="0"/>
        <w:rPr>
          <w:rFonts w:cs="ArialMT"/>
        </w:rPr>
      </w:pPr>
    </w:p>
    <w:p w:rsidR="000E138E" w:rsidP="000E138E" w:rsidRDefault="000E138E">
      <w:pPr>
        <w:pStyle w:val="DarkList-Accent51"/>
        <w:pBdr>
          <w:bottom w:val="single" w:color="auto" w:sz="6" w:space="1"/>
        </w:pBdr>
        <w:ind w:left="0"/>
        <w:contextualSpacing w:val="0"/>
        <w:jc w:val="both"/>
        <w:rPr>
          <w:rFonts w:cs="Arial" w:asciiTheme="majorHAnsi" w:hAnsiTheme="majorHAnsi"/>
          <w:b/>
          <w:i/>
          <w:color w:val="548AB7" w:themeColor="accent1" w:themeShade="BF"/>
        </w:rPr>
      </w:pPr>
      <w:r w:rsidRPr="00942534">
        <w:rPr>
          <w:rFonts w:cs="Arial" w:asciiTheme="majorHAnsi" w:hAnsiTheme="majorHAnsi"/>
          <w:b/>
          <w:i/>
          <w:color w:val="548AB7" w:themeColor="accent1" w:themeShade="BF"/>
        </w:rPr>
        <w:t xml:space="preserve">MSc Advanced Clinical Practice </w:t>
      </w:r>
      <w:r>
        <w:rPr>
          <w:rFonts w:cs="Arial" w:asciiTheme="majorHAnsi" w:hAnsiTheme="majorHAnsi"/>
          <w:b/>
          <w:i/>
          <w:color w:val="548AB7" w:themeColor="accent1" w:themeShade="BF"/>
        </w:rPr>
        <w:t>B90082</w:t>
      </w:r>
    </w:p>
    <w:p w:rsidRPr="000E138E" w:rsidR="000E138E" w:rsidP="000E138E" w:rsidRDefault="000E138E">
      <w:pPr>
        <w:pStyle w:val="DarkList-Accent51"/>
        <w:pBdr>
          <w:bottom w:val="single" w:color="auto" w:sz="6" w:space="1"/>
        </w:pBdr>
        <w:ind w:left="0"/>
        <w:contextualSpacing w:val="0"/>
        <w:jc w:val="both"/>
        <w:rPr>
          <w:rFonts w:cs="Arial" w:asciiTheme="majorHAnsi" w:hAnsiTheme="majorHAnsi"/>
          <w:b/>
          <w:i/>
          <w:color w:val="548AB7" w:themeColor="accent1" w:themeShade="BF"/>
          <w:sz w:val="16"/>
          <w:szCs w:val="16"/>
        </w:rPr>
      </w:pPr>
    </w:p>
    <w:p w:rsidR="000E138E" w:rsidP="000E138E" w:rsidRDefault="000E138E">
      <w:pPr>
        <w:pStyle w:val="DarkList-Accent51"/>
        <w:ind w:left="0"/>
        <w:contextualSpacing w:val="0"/>
        <w:jc w:val="both"/>
        <w:rPr>
          <w:rFonts w:cs="Arial" w:asciiTheme="majorHAnsi" w:hAnsiTheme="majorHAnsi"/>
          <w:b/>
          <w:i/>
          <w:color w:val="548AB7" w:themeColor="accent1" w:themeShade="BF"/>
        </w:rPr>
      </w:pPr>
    </w:p>
    <w:p w:rsidRPr="00942534" w:rsidR="000E138E" w:rsidP="000E138E" w:rsidRDefault="000E138E">
      <w:pPr>
        <w:pStyle w:val="DarkList-Accent51"/>
        <w:ind w:left="0"/>
        <w:contextualSpacing w:val="0"/>
        <w:rPr>
          <w:rFonts w:cs="Arial" w:asciiTheme="minorHAnsi" w:hAnsiTheme="minorHAnsi"/>
        </w:rPr>
      </w:pPr>
      <w:r w:rsidRPr="00942534">
        <w:rPr>
          <w:rFonts w:cs="Arial" w:asciiTheme="minorHAnsi" w:hAnsiTheme="minorHAnsi"/>
        </w:rPr>
        <w:t>The programmes incorporate a non-medical prescribing course, allowing students to legally undertake prescribing.  This course has different assessment criteria from the university’s regulations, which are set by the Nursing and Midwifery Council, the Health and Care Professions Council and the General Pharmaceutical Council:</w:t>
      </w:r>
    </w:p>
    <w:p w:rsidRPr="00942534" w:rsidR="000E138E" w:rsidP="000E138E" w:rsidRDefault="000E138E">
      <w:pPr>
        <w:pStyle w:val="DarkList-Accent51"/>
        <w:ind w:left="0"/>
        <w:contextualSpacing w:val="0"/>
        <w:jc w:val="both"/>
        <w:rPr>
          <w:rFonts w:cs="Arial" w:asciiTheme="minorHAnsi" w:hAnsiTheme="minorHAnsi"/>
          <w:b/>
          <w:i/>
        </w:rPr>
      </w:pPr>
    </w:p>
    <w:p w:rsidRPr="00942534" w:rsidR="000E138E" w:rsidP="000E138E" w:rsidRDefault="000E138E">
      <w:pPr>
        <w:pStyle w:val="ListParagraph"/>
        <w:numPr>
          <w:ilvl w:val="0"/>
          <w:numId w:val="5"/>
        </w:numPr>
        <w:tabs>
          <w:tab w:val="clear" w:pos="567"/>
        </w:tabs>
        <w:autoSpaceDE w:val="0"/>
        <w:autoSpaceDN w:val="0"/>
        <w:adjustRightInd w:val="0"/>
        <w:contextualSpacing w:val="0"/>
        <w:rPr>
          <w:rFonts w:cs="ArialMT" w:asciiTheme="minorHAnsi" w:hAnsiTheme="minorHAnsi"/>
        </w:rPr>
      </w:pPr>
      <w:r w:rsidRPr="00942534">
        <w:rPr>
          <w:rFonts w:cs="ArialMT" w:asciiTheme="minorHAnsi" w:hAnsiTheme="minorHAnsi"/>
        </w:rPr>
        <w:t>Students undertaking PRES5005 Applied Prescribing Module will have one resit opportunity for each part of the assessment (Reflection and Portfolio)</w:t>
      </w:r>
    </w:p>
    <w:p w:rsidRPr="00942534" w:rsidR="000E138E" w:rsidP="000E138E" w:rsidRDefault="000E138E">
      <w:pPr>
        <w:pStyle w:val="ListParagraph"/>
        <w:numPr>
          <w:ilvl w:val="0"/>
          <w:numId w:val="5"/>
        </w:numPr>
        <w:tabs>
          <w:tab w:val="clear" w:pos="567"/>
        </w:tabs>
        <w:autoSpaceDE w:val="0"/>
        <w:autoSpaceDN w:val="0"/>
        <w:adjustRightInd w:val="0"/>
        <w:contextualSpacing w:val="0"/>
        <w:rPr>
          <w:rFonts w:cs="ArialMT" w:asciiTheme="minorHAnsi" w:hAnsiTheme="minorHAnsi"/>
        </w:rPr>
      </w:pPr>
      <w:r w:rsidRPr="00942534">
        <w:rPr>
          <w:rFonts w:cs="ArialMT" w:asciiTheme="minorHAnsi" w:hAnsiTheme="minorHAnsi"/>
        </w:rPr>
        <w:t>Students undertaking PRES5006 Pharmacology for Prescribers will have one resit opportunity for both the pharmacology exam and the assignment</w:t>
      </w:r>
    </w:p>
    <w:p w:rsidRPr="00942534" w:rsidR="000E138E" w:rsidP="000E138E" w:rsidRDefault="000E138E">
      <w:pPr>
        <w:pStyle w:val="ListParagraph"/>
        <w:numPr>
          <w:ilvl w:val="0"/>
          <w:numId w:val="5"/>
        </w:numPr>
        <w:tabs>
          <w:tab w:val="clear" w:pos="567"/>
        </w:tabs>
        <w:autoSpaceDE w:val="0"/>
        <w:autoSpaceDN w:val="0"/>
        <w:adjustRightInd w:val="0"/>
        <w:contextualSpacing w:val="0"/>
        <w:rPr>
          <w:rFonts w:cs="ArialMT" w:asciiTheme="minorHAnsi" w:hAnsiTheme="minorHAnsi"/>
        </w:rPr>
      </w:pPr>
      <w:r w:rsidRPr="00942534">
        <w:rPr>
          <w:rFonts w:cs="ArialMT" w:asciiTheme="minorHAnsi" w:hAnsiTheme="minorHAnsi"/>
        </w:rPr>
        <w:t>Students undertaking PRES5006 Pharmacology for Prescribers will have one resit opportunity for the numeracy exam within the module.  If the student fails both the first and resit attempt they will be allowed one final resit opportunity after the assessment board</w:t>
      </w:r>
    </w:p>
    <w:p w:rsidRPr="00942534" w:rsidR="000E138E" w:rsidP="000E138E" w:rsidRDefault="000E138E">
      <w:pPr>
        <w:pStyle w:val="ListParagraph"/>
        <w:numPr>
          <w:ilvl w:val="0"/>
          <w:numId w:val="5"/>
        </w:numPr>
        <w:tabs>
          <w:tab w:val="clear" w:pos="567"/>
        </w:tabs>
        <w:autoSpaceDE w:val="0"/>
        <w:autoSpaceDN w:val="0"/>
        <w:adjustRightInd w:val="0"/>
        <w:contextualSpacing w:val="0"/>
        <w:rPr>
          <w:rFonts w:cs="ArialMT" w:asciiTheme="minorHAnsi" w:hAnsiTheme="minorHAnsi"/>
        </w:rPr>
      </w:pPr>
      <w:r w:rsidRPr="00942534">
        <w:rPr>
          <w:rFonts w:cs="ArialMT" w:asciiTheme="minorHAnsi" w:hAnsiTheme="minorHAnsi"/>
        </w:rPr>
        <w:t>The pass mark for the pharmacology exam in PRES5006 is 80%</w:t>
      </w:r>
    </w:p>
    <w:p w:rsidRPr="00942534" w:rsidR="000E138E" w:rsidP="000E138E" w:rsidRDefault="000E138E">
      <w:pPr>
        <w:pStyle w:val="ListParagraph"/>
        <w:numPr>
          <w:ilvl w:val="0"/>
          <w:numId w:val="5"/>
        </w:numPr>
        <w:tabs>
          <w:tab w:val="clear" w:pos="567"/>
        </w:tabs>
        <w:autoSpaceDE w:val="0"/>
        <w:autoSpaceDN w:val="0"/>
        <w:adjustRightInd w:val="0"/>
        <w:contextualSpacing w:val="0"/>
        <w:rPr>
          <w:rFonts w:cs="ArialMT" w:asciiTheme="minorHAnsi" w:hAnsiTheme="minorHAnsi"/>
        </w:rPr>
      </w:pPr>
      <w:r w:rsidRPr="00942534">
        <w:rPr>
          <w:rFonts w:cs="ArialMT" w:asciiTheme="minorHAnsi" w:hAnsiTheme="minorHAnsi"/>
        </w:rPr>
        <w:t>The pass mark for the numeracy exam in PRES5006 is 100%</w:t>
      </w:r>
    </w:p>
    <w:p w:rsidR="000E138E" w:rsidP="000E138E" w:rsidRDefault="000E138E">
      <w:pPr>
        <w:autoSpaceDE w:val="0"/>
        <w:autoSpaceDN w:val="0"/>
        <w:adjustRightInd w:val="0"/>
        <w:rPr>
          <w:rFonts w:cs="ArialMT"/>
        </w:rPr>
      </w:pPr>
    </w:p>
    <w:p w:rsidR="000E138E" w:rsidP="000E138E" w:rsidRDefault="000E138E">
      <w:pPr>
        <w:autoSpaceDE w:val="0"/>
        <w:autoSpaceDN w:val="0"/>
        <w:adjustRightInd w:val="0"/>
        <w:rPr>
          <w:rFonts w:cs="ArialMT"/>
        </w:rPr>
      </w:pPr>
    </w:p>
    <w:p w:rsidR="000E138E" w:rsidP="000E138E" w:rsidRDefault="000E138E">
      <w:pPr>
        <w:autoSpaceDE w:val="0"/>
        <w:autoSpaceDN w:val="0"/>
        <w:adjustRightInd w:val="0"/>
        <w:rPr>
          <w:rFonts w:cs="ArialMT"/>
        </w:rPr>
      </w:pPr>
    </w:p>
    <w:p w:rsidRPr="000E138E" w:rsidR="000E138E" w:rsidP="000E138E" w:rsidRDefault="000E138E">
      <w:pPr>
        <w:autoSpaceDE w:val="0"/>
        <w:autoSpaceDN w:val="0"/>
        <w:adjustRightInd w:val="0"/>
        <w:rPr>
          <w:rFonts w:cs="ArialMT"/>
        </w:rPr>
      </w:pPr>
    </w:p>
    <w:p w:rsidR="000E138E" w:rsidP="000E138E" w:rsidRDefault="000E138E">
      <w:pPr>
        <w:pStyle w:val="Heading4"/>
      </w:pPr>
      <w:r>
        <w:t>Module assessment</w:t>
      </w:r>
      <w:r>
        <w:tab/>
      </w:r>
    </w:p>
    <w:p w:rsidRPr="000E138E" w:rsidR="000E138E" w:rsidP="000E138E" w:rsidRDefault="000E138E"/>
    <w:p w:rsidR="00942534" w:rsidP="00942534" w:rsidRDefault="000E138E">
      <w:r>
        <w:t>MPHE5807 End Point Assessment</w:t>
      </w:r>
    </w:p>
    <w:p w:rsidRPr="000E138E" w:rsidR="000E138E" w:rsidP="00942534" w:rsidRDefault="000E138E">
      <w:pPr>
        <w:rPr>
          <w:rFonts w:cs="Arial"/>
        </w:rPr>
      </w:pPr>
      <w:r w:rsidRPr="000E138E">
        <w:rPr>
          <w:rFonts w:cs="Arial"/>
        </w:rPr>
        <w:t>Irrespective of university regulations, one further opportunity for retaking one or both of the end point assessment components is allowed. Re-sit opportunities should be offered following formal confirmation of the failed assessment component(s) by the EPAO. The employer must also confirm to the EPAO that they support the apprentice in retaking the EPA. Any EPA component must be taken within three months of formal confirmation of the failed EPA. A re-sit of either component will limit the overall EPA grade to pass except where an application for extenuating circumstances has been upheld by the EPAO. Apprentices are only required to re-sit the failed component of the EPA. A further attempt at EPA cannot be used to improve a pass/merit result.</w:t>
      </w:r>
    </w:p>
    <w:p w:rsidR="00942534" w:rsidP="00FE026D" w:rsidRDefault="00942534">
      <w:pPr>
        <w:pStyle w:val="Heading3"/>
      </w:pPr>
    </w:p>
    <w:p w:rsidR="009A767D" w:rsidP="00FE026D" w:rsidRDefault="009A767D">
      <w:pPr>
        <w:pStyle w:val="Heading3"/>
      </w:pPr>
      <w:r>
        <w:t>Applied Health Studies</w:t>
      </w:r>
      <w:r w:rsidRPr="00A90BA8" w:rsidR="00A90BA8">
        <w:t xml:space="preserve"> </w:t>
      </w:r>
      <w:proofErr w:type="spellStart"/>
      <w:r w:rsidR="00A90BA8">
        <w:t>MRes</w:t>
      </w:r>
      <w:proofErr w:type="spellEnd"/>
      <w:r w:rsidR="00A90BA8">
        <w:t xml:space="preserve">, </w:t>
      </w:r>
      <w:r>
        <w:t>B90075</w:t>
      </w:r>
      <w:bookmarkEnd w:id="23"/>
    </w:p>
    <w:p w:rsidRPr="00E87385" w:rsidR="00B236DA" w:rsidP="00B236DA" w:rsidRDefault="00B236DA">
      <w:pPr>
        <w:pStyle w:val="additionalprogrammeheading"/>
      </w:pPr>
      <w:r w:rsidRPr="00E87385">
        <w:t xml:space="preserve">Psychology </w:t>
      </w:r>
      <w:proofErr w:type="spellStart"/>
      <w:r w:rsidRPr="00E87385">
        <w:t>MRes</w:t>
      </w:r>
      <w:proofErr w:type="spellEnd"/>
      <w:r w:rsidRPr="00E87385">
        <w:t>, C80075</w:t>
      </w:r>
    </w:p>
    <w:p w:rsidR="00B236DA" w:rsidP="00B236DA" w:rsidRDefault="00B236DA">
      <w:pPr>
        <w:pStyle w:val="additionalprogrammeheading"/>
      </w:pPr>
      <w:r>
        <w:t xml:space="preserve">Social Work </w:t>
      </w:r>
      <w:proofErr w:type="spellStart"/>
      <w:r>
        <w:t>MRes</w:t>
      </w:r>
      <w:proofErr w:type="spellEnd"/>
      <w:r>
        <w:t>, L50075</w:t>
      </w:r>
    </w:p>
    <w:p w:rsidRPr="007454F8" w:rsidR="007454F8" w:rsidP="00332405" w:rsidRDefault="007454F8">
      <w:pPr>
        <w:pStyle w:val="headingunderline"/>
      </w:pPr>
    </w:p>
    <w:p w:rsidR="009A767D" w:rsidP="00AC0785" w:rsidRDefault="009A767D">
      <w:pPr>
        <w:pStyle w:val="Heading4"/>
      </w:pPr>
      <w:r>
        <w:t>Introduction to modules</w:t>
      </w:r>
      <w:r>
        <w:tab/>
      </w:r>
    </w:p>
    <w:p w:rsidR="009A767D" w:rsidP="009A767D" w:rsidRDefault="009A767D">
      <w:r>
        <w:t>The dissertation is 45 rather than 60 credits.</w:t>
      </w:r>
    </w:p>
    <w:p w:rsidR="009A767D" w:rsidP="009A767D" w:rsidRDefault="009A767D"/>
    <w:p w:rsidR="007B4D7B" w:rsidP="009A767D" w:rsidRDefault="007B4D7B"/>
    <w:p w:rsidR="009A767D" w:rsidP="00FE026D" w:rsidRDefault="009A767D">
      <w:pPr>
        <w:pStyle w:val="Heading3"/>
      </w:pPr>
      <w:bookmarkStart w:name="_Toc507515660" w:id="24"/>
      <w:r>
        <w:t>Clinical Pharmacy/Clinical Pharmacy</w:t>
      </w:r>
      <w:r w:rsidR="009A6D9D">
        <w:t xml:space="preserve"> (with </w:t>
      </w:r>
      <w:r w:rsidR="00EF1827">
        <w:t>Independent Prescribing</w:t>
      </w:r>
      <w:r w:rsidR="009A6D9D">
        <w:t>)</w:t>
      </w:r>
      <w:r w:rsidRPr="009A6D9D" w:rsidR="009A6D9D">
        <w:t xml:space="preserve"> </w:t>
      </w:r>
      <w:r w:rsidR="009A6D9D">
        <w:t>MSc/</w:t>
      </w:r>
      <w:proofErr w:type="spellStart"/>
      <w:r w:rsidR="009A6D9D">
        <w:t>PgDip</w:t>
      </w:r>
      <w:proofErr w:type="spellEnd"/>
      <w:r w:rsidR="009A6D9D">
        <w:t xml:space="preserve">/PgCert, </w:t>
      </w:r>
      <w:r>
        <w:t>B23077</w:t>
      </w:r>
      <w:bookmarkEnd w:id="24"/>
    </w:p>
    <w:p w:rsidRPr="003D3B9C" w:rsidR="003D3B9C" w:rsidP="003D3B9C" w:rsidRDefault="00FE026D">
      <w:pPr>
        <w:pStyle w:val="NoSpacing"/>
      </w:pPr>
      <w:r>
        <w:t>General Pharmaceutical Council (</w:t>
      </w:r>
      <w:proofErr w:type="spellStart"/>
      <w:r>
        <w:t>GPhC</w:t>
      </w:r>
      <w:proofErr w:type="spellEnd"/>
      <w:r>
        <w:t>)</w:t>
      </w:r>
      <w:r w:rsidR="005A3AC2">
        <w:t xml:space="preserve"> </w:t>
      </w:r>
      <w:r w:rsidR="003D3B9C">
        <w:t xml:space="preserve">for </w:t>
      </w:r>
      <w:r w:rsidR="00EF1827">
        <w:t>Independent Prescribing</w:t>
      </w:r>
      <w:r w:rsidR="005A3AC2">
        <w:t xml:space="preserve"> only</w:t>
      </w:r>
    </w:p>
    <w:p w:rsidR="009A767D" w:rsidP="00332405" w:rsidRDefault="009A767D">
      <w:pPr>
        <w:pStyle w:val="headingunderline"/>
      </w:pPr>
    </w:p>
    <w:p w:rsidR="00B0288A" w:rsidP="00FE026D" w:rsidRDefault="00B0288A">
      <w:pPr>
        <w:pStyle w:val="Heading4"/>
      </w:pPr>
      <w:bookmarkStart w:name="_Hlk45725310" w:id="25"/>
      <w:r>
        <w:t>Admission Requirement</w:t>
      </w:r>
    </w:p>
    <w:p w:rsidRPr="00B0288A" w:rsidR="00B0288A" w:rsidP="00B0288A" w:rsidRDefault="00B0288A">
      <w:pPr>
        <w:jc w:val="both"/>
        <w:rPr>
          <w:rFonts w:cs="Arial"/>
        </w:rPr>
      </w:pPr>
      <w:r w:rsidRPr="00B0288A">
        <w:t xml:space="preserve">Due to Covid-19 a relaxation to the standard admission requirement has been made. </w:t>
      </w:r>
      <w:r>
        <w:t xml:space="preserve">This </w:t>
      </w:r>
      <w:r w:rsidRPr="00B0288A">
        <w:rPr>
          <w:rFonts w:cs="Arial"/>
        </w:rPr>
        <w:t>enable</w:t>
      </w:r>
      <w:r>
        <w:rPr>
          <w:rFonts w:cs="Arial"/>
        </w:rPr>
        <w:t>s</w:t>
      </w:r>
      <w:r w:rsidRPr="00B0288A">
        <w:rPr>
          <w:rFonts w:cs="Arial"/>
        </w:rPr>
        <w:t xml:space="preserve"> pharmacists enrolled onto </w:t>
      </w:r>
      <w:proofErr w:type="spellStart"/>
      <w:r w:rsidRPr="00B0288A">
        <w:rPr>
          <w:rFonts w:cs="Arial"/>
        </w:rPr>
        <w:t>GPhC’s</w:t>
      </w:r>
      <w:proofErr w:type="spellEnd"/>
      <w:r w:rsidRPr="00B0288A">
        <w:rPr>
          <w:rFonts w:cs="Arial"/>
        </w:rPr>
        <w:t xml:space="preserve"> provisional register to enrol onto </w:t>
      </w:r>
      <w:r>
        <w:rPr>
          <w:rFonts w:cs="Arial"/>
        </w:rPr>
        <w:t xml:space="preserve">Clinical Pharmacy </w:t>
      </w:r>
      <w:r w:rsidRPr="00B0288A">
        <w:rPr>
          <w:rFonts w:cs="Arial"/>
        </w:rPr>
        <w:t xml:space="preserve">under the provision that they sit the registration exam within 12 months and join </w:t>
      </w:r>
      <w:proofErr w:type="spellStart"/>
      <w:r w:rsidRPr="00B0288A">
        <w:rPr>
          <w:rFonts w:cs="Arial"/>
        </w:rPr>
        <w:t>GPhC’s</w:t>
      </w:r>
      <w:proofErr w:type="spellEnd"/>
      <w:r w:rsidRPr="00B0288A">
        <w:rPr>
          <w:rFonts w:cs="Arial"/>
        </w:rPr>
        <w:t xml:space="preserve"> register as a pharmacist within that timeframe.</w:t>
      </w:r>
    </w:p>
    <w:p w:rsidRPr="00B0288A" w:rsidR="00B0288A" w:rsidP="00B0288A" w:rsidRDefault="00B0288A">
      <w:pPr>
        <w:jc w:val="both"/>
        <w:rPr>
          <w:rFonts w:cs="Arial"/>
        </w:rPr>
      </w:pPr>
    </w:p>
    <w:p w:rsidRPr="00B0288A" w:rsidR="00B0288A" w:rsidP="00B0288A" w:rsidRDefault="00B0288A">
      <w:pPr>
        <w:jc w:val="both"/>
        <w:rPr>
          <w:rFonts w:cs="Arial"/>
        </w:rPr>
      </w:pPr>
      <w:r w:rsidRPr="00B0288A">
        <w:rPr>
          <w:rFonts w:cs="Arial"/>
        </w:rPr>
        <w:t xml:space="preserve">Failure to successfully register within 12 months would mean their </w:t>
      </w:r>
      <w:r>
        <w:rPr>
          <w:rFonts w:cs="Arial"/>
        </w:rPr>
        <w:t xml:space="preserve">registration </w:t>
      </w:r>
      <w:r w:rsidRPr="00B0288A">
        <w:rPr>
          <w:rFonts w:cs="Arial"/>
        </w:rPr>
        <w:t xml:space="preserve">and studies on </w:t>
      </w:r>
      <w:r>
        <w:rPr>
          <w:rFonts w:cs="Arial"/>
        </w:rPr>
        <w:t xml:space="preserve">Clinical Pharmacy </w:t>
      </w:r>
      <w:r w:rsidRPr="00B0288A">
        <w:rPr>
          <w:rFonts w:cs="Arial"/>
        </w:rPr>
        <w:t xml:space="preserve">be </w:t>
      </w:r>
      <w:r>
        <w:rPr>
          <w:rFonts w:cs="Arial"/>
        </w:rPr>
        <w:t>dismissed.</w:t>
      </w:r>
    </w:p>
    <w:bookmarkEnd w:id="25"/>
    <w:p w:rsidRPr="00B0288A" w:rsidR="00B0288A" w:rsidP="00B0288A" w:rsidRDefault="00B0288A"/>
    <w:p w:rsidR="009A767D" w:rsidP="00FE026D" w:rsidRDefault="009A767D">
      <w:pPr>
        <w:pStyle w:val="Heading4"/>
      </w:pPr>
      <w:r>
        <w:t>Module assessment</w:t>
      </w:r>
      <w:r>
        <w:tab/>
      </w:r>
    </w:p>
    <w:p w:rsidRPr="001E44E3" w:rsidR="004424E1" w:rsidP="009A767D" w:rsidRDefault="004424E1">
      <w:pPr>
        <w:rPr>
          <w:highlight w:val="yellow"/>
        </w:rPr>
      </w:pPr>
    </w:p>
    <w:p w:rsidRPr="001E44E3" w:rsidR="001E44E3" w:rsidP="001E44E3" w:rsidRDefault="001E44E3">
      <w:pPr>
        <w:rPr>
          <w:rFonts w:cs="Arial"/>
        </w:rPr>
      </w:pPr>
      <w:r w:rsidRPr="001E44E3">
        <w:rPr>
          <w:rFonts w:cs="Arial"/>
        </w:rPr>
        <w:t xml:space="preserve">For the Independent Prescribing Module(s) (PHAR5557 or PHAR5558) any error or action in a summative assessment which may potentially </w:t>
      </w:r>
      <w:proofErr w:type="gramStart"/>
      <w:r w:rsidRPr="001E44E3">
        <w:rPr>
          <w:rFonts w:cs="Arial"/>
        </w:rPr>
        <w:t>cause</w:t>
      </w:r>
      <w:proofErr w:type="gramEnd"/>
      <w:r w:rsidRPr="001E44E3">
        <w:rPr>
          <w:rFonts w:cs="Arial"/>
        </w:rPr>
        <w:t xml:space="preserve"> patient harm will be reviewed in light of current clinical practice descriptors of harm stratification. This review will take place by a panel which will consist of a minimum of the marker, the internal moderator, the module leader and the external examiner, plus a currently practising non-medical prescriber.</w:t>
      </w:r>
    </w:p>
    <w:p w:rsidRPr="001E44E3" w:rsidR="001E44E3" w:rsidP="001E44E3" w:rsidRDefault="001E44E3">
      <w:pPr>
        <w:rPr>
          <w:rFonts w:cs="Arial"/>
        </w:rPr>
      </w:pPr>
      <w:r w:rsidRPr="001E44E3">
        <w:rPr>
          <w:rFonts w:cs="Arial"/>
        </w:rPr>
        <w:t>Any incident or omission that causes the death, or would have the potential (for example in theoretical work) to cause the death, of one or more persons, will result in failure of the whole course, with no re-assessment opportunity.</w:t>
      </w:r>
    </w:p>
    <w:p w:rsidRPr="001E44E3" w:rsidR="001E44E3" w:rsidP="001E44E3" w:rsidRDefault="001E44E3">
      <w:pPr>
        <w:rPr>
          <w:rFonts w:cs="Arial"/>
        </w:rPr>
      </w:pPr>
      <w:r w:rsidRPr="001E44E3">
        <w:rPr>
          <w:rFonts w:cs="Arial"/>
        </w:rPr>
        <w:t>Any incident or omission that would cause</w:t>
      </w:r>
      <w:r w:rsidRPr="001E44E3">
        <w:rPr>
          <w:rFonts w:cs="Arial"/>
          <w:shd w:val="clear" w:color="auto" w:fill="FFFFFF"/>
        </w:rPr>
        <w:t xml:space="preserve"> permanent or long-term harm, </w:t>
      </w:r>
      <w:r w:rsidRPr="001E44E3">
        <w:rPr>
          <w:rFonts w:cs="Arial"/>
        </w:rPr>
        <w:t>or would have the potential (for example in theoretical work) to cause</w:t>
      </w:r>
      <w:r w:rsidRPr="001E44E3">
        <w:rPr>
          <w:rFonts w:cs="Arial"/>
          <w:shd w:val="clear" w:color="auto" w:fill="FFFFFF"/>
        </w:rPr>
        <w:t xml:space="preserve"> permanent or long-term harm</w:t>
      </w:r>
      <w:r w:rsidRPr="001E44E3">
        <w:rPr>
          <w:rFonts w:cs="Arial"/>
        </w:rPr>
        <w:t>,</w:t>
      </w:r>
      <w:r w:rsidRPr="001E44E3">
        <w:rPr>
          <w:rFonts w:cs="Arial"/>
          <w:shd w:val="clear" w:color="auto" w:fill="FFFFFF"/>
        </w:rPr>
        <w:t xml:space="preserve"> to one or more persons </w:t>
      </w:r>
      <w:r w:rsidRPr="001E44E3">
        <w:rPr>
          <w:rFonts w:cs="Arial"/>
        </w:rPr>
        <w:t>will result in an overall failure of the Independent Prescribing module and will require resubmission of all of the assessments, not just the one failed. All original submissions will be given a mark of 0%. The student will be required to provide additional reflection to demonstrate learning from the event.</w:t>
      </w:r>
    </w:p>
    <w:p w:rsidRPr="001E44E3" w:rsidR="001E44E3" w:rsidP="001E44E3" w:rsidRDefault="001E44E3">
      <w:pPr>
        <w:rPr>
          <w:rFonts w:cs="Arial"/>
        </w:rPr>
      </w:pPr>
      <w:r w:rsidRPr="001E44E3">
        <w:rPr>
          <w:rFonts w:cs="Arial"/>
        </w:rPr>
        <w:t>Any incident that would result in, or would have the potential (for example in theoretical work) to result in,</w:t>
      </w:r>
      <w:r w:rsidRPr="001E44E3">
        <w:rPr>
          <w:rFonts w:cs="Arial"/>
          <w:shd w:val="clear" w:color="auto" w:fill="FFFFFF"/>
        </w:rPr>
        <w:t xml:space="preserve"> further treatment, possible surgical intervention, cancelling of treatment, or transfer to another area, </w:t>
      </w:r>
      <w:r w:rsidRPr="001E44E3">
        <w:rPr>
          <w:rFonts w:cs="Arial"/>
        </w:rPr>
        <w:t>will result in failure of the relevant assessment with a mark of 0%. Only the failed assessment must be re-submitted. The student will be required to provide additional reflection to demonstrate learning from the event.</w:t>
      </w:r>
    </w:p>
    <w:p w:rsidRPr="001E44E3" w:rsidR="001E44E3" w:rsidP="001E44E3" w:rsidRDefault="001E44E3">
      <w:pPr>
        <w:rPr>
          <w:rFonts w:cs="Arial"/>
        </w:rPr>
      </w:pPr>
      <w:r w:rsidRPr="001E44E3">
        <w:rPr>
          <w:rFonts w:cs="Arial"/>
        </w:rPr>
        <w:t xml:space="preserve">Any incident </w:t>
      </w:r>
      <w:r w:rsidRPr="001E44E3">
        <w:rPr>
          <w:rFonts w:cs="Arial"/>
          <w:shd w:val="clear" w:color="auto" w:fill="FFFFFF"/>
        </w:rPr>
        <w:t xml:space="preserve">that required, </w:t>
      </w:r>
      <w:r w:rsidRPr="001E44E3">
        <w:rPr>
          <w:rFonts w:cs="Arial"/>
        </w:rPr>
        <w:t>or would have the potential (for example in theoretical work) to require</w:t>
      </w:r>
      <w:r w:rsidRPr="001E44E3">
        <w:rPr>
          <w:rFonts w:cs="Arial"/>
          <w:shd w:val="clear" w:color="auto" w:fill="FFFFFF"/>
        </w:rPr>
        <w:t xml:space="preserve"> extra observation or minor treatment and caused minimal harm to one or more persons</w:t>
      </w:r>
      <w:r w:rsidRPr="001E44E3">
        <w:rPr>
          <w:rFonts w:cs="Arial"/>
        </w:rPr>
        <w:t>, will result in appropriate advice, but not a failure of the assessment. The student may be requested to provide additional reflection to demonstrate learning from the event.</w:t>
      </w:r>
    </w:p>
    <w:p w:rsidR="007B4D7B" w:rsidP="009A767D" w:rsidRDefault="007B4D7B"/>
    <w:p w:rsidR="001C42AD" w:rsidP="009A767D" w:rsidRDefault="001C42AD"/>
    <w:p w:rsidRPr="0069742F" w:rsidR="001C42AD" w:rsidP="001C42AD" w:rsidRDefault="001C42AD">
      <w:pPr>
        <w:rPr>
          <w:color w:val="548AB7" w:themeColor="accent1" w:themeShade="BF"/>
        </w:rPr>
      </w:pPr>
      <w:r w:rsidRPr="0069742F">
        <w:rPr>
          <w:b/>
          <w:color w:val="548AB7" w:themeColor="accent1" w:themeShade="BF"/>
        </w:rPr>
        <w:t>Independent/Supplementary Prescribing (V300) Programme</w:t>
      </w:r>
      <w:r w:rsidRPr="0069742F">
        <w:rPr>
          <w:color w:val="548AB7" w:themeColor="accent1" w:themeShade="BF"/>
        </w:rPr>
        <w:t xml:space="preserve"> </w:t>
      </w:r>
    </w:p>
    <w:p w:rsidR="001C42AD" w:rsidP="001C42AD" w:rsidRDefault="001C42AD">
      <w:pPr>
        <w:rPr>
          <w:color w:val="548AB7" w:themeColor="accent1" w:themeShade="BF"/>
        </w:rPr>
      </w:pPr>
      <w:r w:rsidRPr="0069742F">
        <w:rPr>
          <w:color w:val="548AB7" w:themeColor="accent1" w:themeShade="BF"/>
        </w:rPr>
        <w:t>Programme Code B23081</w:t>
      </w:r>
    </w:p>
    <w:p w:rsidRPr="0069742F" w:rsidR="004737ED" w:rsidP="001C42AD" w:rsidRDefault="004737ED">
      <w:pPr>
        <w:rPr>
          <w:b/>
          <w:color w:val="548AB7" w:themeColor="accent1" w:themeShade="BF"/>
        </w:rPr>
      </w:pPr>
      <w:r>
        <w:rPr>
          <w:b/>
          <w:color w:val="548AB7" w:themeColor="accent1" w:themeShade="BF"/>
        </w:rPr>
        <w:t>__________________________________________________________________________________________</w:t>
      </w:r>
    </w:p>
    <w:p w:rsidR="001C42AD" w:rsidP="001C42AD" w:rsidRDefault="001C42AD"/>
    <w:p w:rsidR="001C42AD" w:rsidP="001C42AD" w:rsidRDefault="001C42AD">
      <w:r>
        <w:t>Students Must:</w:t>
      </w:r>
    </w:p>
    <w:p w:rsidRPr="00562E23" w:rsidR="001C42AD" w:rsidP="001C42AD" w:rsidRDefault="001C42AD">
      <w:r w:rsidRPr="00562E23">
        <w:t xml:space="preserve">Have successfully passed PRES 5005 Applied Prescribing Module (30credits) </w:t>
      </w:r>
    </w:p>
    <w:p w:rsidRPr="00562E23" w:rsidR="001C42AD" w:rsidP="001C42AD" w:rsidRDefault="001C42AD">
      <w:r w:rsidRPr="00562E23">
        <w:t>Practice Portfolio (pass/fail)</w:t>
      </w:r>
    </w:p>
    <w:p w:rsidRPr="00562E23" w:rsidR="001C42AD" w:rsidP="001C42AD" w:rsidRDefault="001C42AD">
      <w:proofErr w:type="gramStart"/>
      <w:r w:rsidRPr="00562E23">
        <w:t>4000 word</w:t>
      </w:r>
      <w:proofErr w:type="gramEnd"/>
      <w:r w:rsidRPr="00562E23">
        <w:t xml:space="preserve"> reflection (passed at 50%)</w:t>
      </w:r>
    </w:p>
    <w:p w:rsidRPr="00562E23" w:rsidR="001C42AD" w:rsidP="001C42AD" w:rsidRDefault="001C42AD">
      <w:r w:rsidRPr="00562E23">
        <w:t xml:space="preserve">Have successfully passed PRES 5006 Pharmacology for </w:t>
      </w:r>
      <w:proofErr w:type="gramStart"/>
      <w:r w:rsidRPr="00562E23">
        <w:t>prescribers</w:t>
      </w:r>
      <w:proofErr w:type="gramEnd"/>
      <w:r w:rsidRPr="00562E23">
        <w:t xml:space="preserve"> module (15 credits)</w:t>
      </w:r>
    </w:p>
    <w:p w:rsidRPr="00562E23" w:rsidR="001C42AD" w:rsidP="001C42AD" w:rsidRDefault="001C42AD">
      <w:r w:rsidRPr="00562E23">
        <w:t xml:space="preserve">Passed Numeracy exam with 100% </w:t>
      </w:r>
    </w:p>
    <w:p w:rsidRPr="00562E23" w:rsidR="001C42AD" w:rsidP="001C42AD" w:rsidRDefault="001C42AD">
      <w:r w:rsidRPr="00562E23">
        <w:t>Passed pharmacology exam with 80%</w:t>
      </w:r>
    </w:p>
    <w:p w:rsidRPr="00562E23" w:rsidR="001C42AD" w:rsidP="001C42AD" w:rsidRDefault="001C42AD">
      <w:r w:rsidRPr="00562E23">
        <w:t>Passed 2500 word written assignment with 50%</w:t>
      </w:r>
    </w:p>
    <w:p w:rsidRPr="00562E23" w:rsidR="001C42AD" w:rsidP="001C42AD" w:rsidRDefault="001C42AD"/>
    <w:p w:rsidRPr="00562E23" w:rsidR="001C42AD" w:rsidP="001C42AD" w:rsidRDefault="001C42AD">
      <w:r w:rsidRPr="00562E23">
        <w:t>In order to gain the qualification of Independent and Supplementary prescriber (V300)</w:t>
      </w:r>
    </w:p>
    <w:p w:rsidRPr="00562E23" w:rsidR="001C42AD" w:rsidP="001C42AD" w:rsidRDefault="001C42AD">
      <w:r w:rsidRPr="00562E23">
        <w:t>Students Must:</w:t>
      </w:r>
    </w:p>
    <w:p w:rsidRPr="00562E23" w:rsidR="001C42AD" w:rsidP="001C42AD" w:rsidRDefault="001C42AD">
      <w:r w:rsidRPr="00562E23">
        <w:t>Be registered with the NMC as a nurse (level 1) or a midwife or be registered with the HCPC as a physiotherapist, podiatrist, paramedic or therapeutic radiographer.</w:t>
      </w:r>
    </w:p>
    <w:p w:rsidRPr="00562E23" w:rsidR="001C42AD" w:rsidP="001C42AD" w:rsidRDefault="001C42AD"/>
    <w:p w:rsidRPr="00562E23" w:rsidR="001C42AD" w:rsidP="001C42AD" w:rsidRDefault="001C42AD">
      <w:r w:rsidRPr="00562E23">
        <w:t>In order to gain the qualification of a Supplementary prescriber (V300)</w:t>
      </w:r>
    </w:p>
    <w:p w:rsidRPr="00562E23" w:rsidR="001C42AD" w:rsidP="001C42AD" w:rsidRDefault="001C42AD">
      <w:r w:rsidRPr="00562E23">
        <w:t>Students Must:</w:t>
      </w:r>
    </w:p>
    <w:p w:rsidRPr="00562E23" w:rsidR="001C42AD" w:rsidP="001C42AD" w:rsidRDefault="001C42AD">
      <w:r w:rsidRPr="00562E23">
        <w:t>Be registered with the HCPC as a diagnostic radiographer or dietician.</w:t>
      </w:r>
    </w:p>
    <w:p w:rsidRPr="00562E23" w:rsidR="001C42AD" w:rsidP="001C42AD" w:rsidRDefault="001C42AD"/>
    <w:p w:rsidRPr="00562E23" w:rsidR="001C42AD" w:rsidP="001C42AD" w:rsidRDefault="001C42AD"/>
    <w:p w:rsidRPr="00562E23" w:rsidR="001C42AD" w:rsidP="001C42AD" w:rsidRDefault="001C42AD">
      <w:r w:rsidRPr="00562E23">
        <w:t>Students are allowed 2 attempts at the numeracy examination within the module. If neither of these attempts are passed the marks will be presented to the exam board as a fail. The student will then have one opportunity to pass this element of the module.</w:t>
      </w:r>
    </w:p>
    <w:p w:rsidRPr="00562E23" w:rsidR="001C42AD" w:rsidP="001C42AD" w:rsidRDefault="001C42AD"/>
    <w:p w:rsidR="001C42AD" w:rsidP="001C42AD" w:rsidRDefault="001C42AD">
      <w:r w:rsidRPr="00562E23">
        <w:t>Students who fail one or more element of a module will be given one re-submission opportunity to achieve a pass grade for each element of the module.</w:t>
      </w:r>
    </w:p>
    <w:p w:rsidR="001C42AD" w:rsidP="009A767D" w:rsidRDefault="001C42AD"/>
    <w:p w:rsidRPr="005907E1" w:rsidR="0009332B" w:rsidP="0009332B" w:rsidRDefault="0009332B">
      <w:pPr>
        <w:pStyle w:val="additionalprogrammeheading"/>
      </w:pPr>
      <w:r>
        <w:t>Low Intensity Psychological Interventions PgCert, C84080</w:t>
      </w:r>
    </w:p>
    <w:p w:rsidR="0009332B" w:rsidP="0009332B" w:rsidRDefault="0009332B">
      <w:pPr>
        <w:pStyle w:val="headingunderline"/>
      </w:pPr>
    </w:p>
    <w:p w:rsidR="0009332B" w:rsidP="0009332B" w:rsidRDefault="0009332B">
      <w:pPr>
        <w:pStyle w:val="Heading4"/>
      </w:pPr>
      <w:r>
        <w:t>Introduction to modules</w:t>
      </w:r>
      <w:r>
        <w:tab/>
      </w:r>
    </w:p>
    <w:p w:rsidR="0009332B" w:rsidP="0009332B" w:rsidRDefault="0009332B">
      <w:r>
        <w:t>The programme consists of 20 credit modules.</w:t>
      </w:r>
    </w:p>
    <w:p w:rsidR="0009332B" w:rsidP="0009332B" w:rsidRDefault="0009332B"/>
    <w:p w:rsidRPr="005907E1" w:rsidR="0009332B" w:rsidP="0009332B" w:rsidRDefault="0009332B">
      <w:pPr>
        <w:pStyle w:val="Heading4"/>
      </w:pPr>
      <w:r w:rsidRPr="005907E1">
        <w:t>Passing a module</w:t>
      </w:r>
    </w:p>
    <w:p w:rsidR="0009332B" w:rsidP="0009332B" w:rsidRDefault="0009332B">
      <w:r w:rsidRPr="005907E1">
        <w:t xml:space="preserve">All module components must be passed at </w:t>
      </w:r>
      <w:r>
        <w:t>50% C84080</w:t>
      </w:r>
      <w:r w:rsidRPr="005907E1">
        <w:t>. All zero-credit (pass/fail) components must be passed.</w:t>
      </w:r>
    </w:p>
    <w:p w:rsidR="0009332B" w:rsidP="0009332B" w:rsidRDefault="0009332B"/>
    <w:p w:rsidR="0009332B" w:rsidP="0009332B" w:rsidRDefault="0009332B">
      <w:pPr>
        <w:pStyle w:val="Heading4"/>
      </w:pPr>
      <w:r>
        <w:t>Reassessment of failure</w:t>
      </w:r>
      <w:r>
        <w:tab/>
      </w:r>
    </w:p>
    <w:p w:rsidR="0009332B" w:rsidP="0009332B" w:rsidRDefault="0009332B">
      <w:r>
        <w:t>Students are only allowed one reassessment attempt per module.</w:t>
      </w:r>
    </w:p>
    <w:p w:rsidR="0009332B" w:rsidP="0009332B" w:rsidRDefault="0009332B"/>
    <w:p w:rsidR="0009332B" w:rsidP="0009332B" w:rsidRDefault="0009332B">
      <w:r>
        <w:t>Failure of a module due to gross professional misconduct will result in immediate dismissal from the programme.</w:t>
      </w:r>
    </w:p>
    <w:p w:rsidR="0009332B" w:rsidP="0009332B" w:rsidRDefault="0009332B"/>
    <w:p w:rsidR="0009332B" w:rsidP="0009332B" w:rsidRDefault="0009332B">
      <w:r>
        <w:t>Students must maintain contractual services with the designated service provider for the duration of the programme. If they fail to do so they will be suspended pending investigation and may be terminated from the programme.</w:t>
      </w:r>
    </w:p>
    <w:p w:rsidR="0009332B" w:rsidP="0009332B" w:rsidRDefault="0009332B"/>
    <w:p w:rsidR="0009332B" w:rsidP="0009332B" w:rsidRDefault="0009332B">
      <w:pPr>
        <w:pStyle w:val="Heading4"/>
      </w:pPr>
      <w:r>
        <w:t>Attendance</w:t>
      </w:r>
      <w:r>
        <w:tab/>
      </w:r>
    </w:p>
    <w:p w:rsidR="0009332B" w:rsidP="0009332B" w:rsidRDefault="0009332B">
      <w:r>
        <w:t>Each module has a 100 per cent attendance requirement for taught content. The clinical practice element has an 80 per cent attendance requirement. If a student falls below these requirements they must demonstrate that they have completed any missed work.</w:t>
      </w:r>
    </w:p>
    <w:p w:rsidR="00BA1200" w:rsidP="0009332B" w:rsidRDefault="00BA1200"/>
    <w:p w:rsidR="00BA1200" w:rsidP="00BA1200" w:rsidRDefault="00BA1200">
      <w:pPr>
        <w:pStyle w:val="Heading4"/>
        <w:rPr>
          <w:rFonts w:eastAsia="Times New Roman"/>
          <w:color w:val="76923C"/>
        </w:rPr>
      </w:pPr>
      <w:r>
        <w:rPr>
          <w:rFonts w:eastAsia="Times New Roman"/>
        </w:rPr>
        <w:t>Awards of the university</w:t>
      </w:r>
    </w:p>
    <w:p w:rsidRPr="00BA1200" w:rsidR="00BA1200" w:rsidP="0009332B" w:rsidRDefault="00BA1200">
      <w:r w:rsidRPr="00BA1200">
        <w:rPr>
          <w:rFonts w:cs="Arial"/>
        </w:rPr>
        <w:t>Classification is based on the overall average mark</w:t>
      </w:r>
      <w:r w:rsidR="00295C26">
        <w:rPr>
          <w:rFonts w:cs="Arial"/>
        </w:rPr>
        <w:t xml:space="preserve"> or i</w:t>
      </w:r>
      <w:r w:rsidRPr="00BA1200">
        <w:rPr>
          <w:rFonts w:cs="Arial"/>
        </w:rPr>
        <w:t>f students have 40 credits in the higher banding, the higher classification award will be applied.</w:t>
      </w:r>
    </w:p>
    <w:p w:rsidR="0009332B" w:rsidP="0009332B" w:rsidRDefault="0009332B"/>
    <w:p w:rsidR="0009332B" w:rsidP="0009332B" w:rsidRDefault="0009332B"/>
    <w:p w:rsidR="009A767D" w:rsidP="00332405" w:rsidRDefault="009A767D">
      <w:pPr>
        <w:pStyle w:val="headingunderline"/>
      </w:pPr>
    </w:p>
    <w:p w:rsidRPr="006D7F09" w:rsidR="009A767D" w:rsidP="009A767D" w:rsidRDefault="00D10E66">
      <w:hyperlink w:history="1" w:anchor="_Low_Intensity_Psychological">
        <w:r w:rsidRPr="006D7F09" w:rsidR="006D7F09">
          <w:rPr>
            <w:rStyle w:val="Hyperlink"/>
            <w:iCs/>
          </w:rPr>
          <w:t xml:space="preserve">See </w:t>
        </w:r>
        <w:r w:rsidR="006D7F09">
          <w:rPr>
            <w:rStyle w:val="Hyperlink"/>
            <w:iCs/>
          </w:rPr>
          <w:t>Low Intensity P</w:t>
        </w:r>
        <w:r w:rsidR="000B1625">
          <w:rPr>
            <w:rStyle w:val="Hyperlink"/>
            <w:iCs/>
          </w:rPr>
          <w:t xml:space="preserve">sychological Interventions </w:t>
        </w:r>
        <w:proofErr w:type="spellStart"/>
        <w:r w:rsidR="000B1625">
          <w:rPr>
            <w:rStyle w:val="Hyperlink"/>
            <w:iCs/>
          </w:rPr>
          <w:t>Grad</w:t>
        </w:r>
        <w:r w:rsidR="006D7F09">
          <w:rPr>
            <w:rStyle w:val="Hyperlink"/>
            <w:iCs/>
          </w:rPr>
          <w:t>Cert</w:t>
        </w:r>
        <w:proofErr w:type="spellEnd"/>
      </w:hyperlink>
      <w:r w:rsidR="00BC0775">
        <w:rPr>
          <w:rStyle w:val="Hyperlink"/>
          <w:iCs/>
        </w:rPr>
        <w:t xml:space="preserve"> </w:t>
      </w:r>
    </w:p>
    <w:p w:rsidR="007B4D7B" w:rsidP="007B4D7B" w:rsidRDefault="007B4D7B"/>
    <w:p w:rsidRPr="00351CB3" w:rsidR="009D0862" w:rsidP="00351CB3" w:rsidRDefault="009D0862">
      <w:bookmarkStart w:name="_Toc507515664" w:id="26"/>
    </w:p>
    <w:p w:rsidR="003A5E39" w:rsidP="00FC5B86" w:rsidRDefault="003A5E39">
      <w:pPr>
        <w:pStyle w:val="Heading3"/>
      </w:pPr>
    </w:p>
    <w:bookmarkEnd w:id="26"/>
    <w:p w:rsidR="00C23EFD" w:rsidP="00C23EFD" w:rsidRDefault="00C23EFD">
      <w:pPr>
        <w:pStyle w:val="additionalprogrammeheading"/>
      </w:pPr>
      <w:r>
        <w:t>Non-medical Prescribing PGCert,</w:t>
      </w:r>
      <w:r w:rsidRPr="00F218A1">
        <w:t xml:space="preserve"> </w:t>
      </w:r>
      <w:r>
        <w:t xml:space="preserve">B23079 </w:t>
      </w:r>
    </w:p>
    <w:p w:rsidR="00C23EFD" w:rsidP="00C23EFD" w:rsidRDefault="00C23EFD">
      <w:pPr>
        <w:pStyle w:val="additionalprogrammeheading"/>
      </w:pPr>
      <w:r>
        <w:t>PN185T with NMC V300/PN185U with HCPD IP/SP</w:t>
      </w:r>
    </w:p>
    <w:p w:rsidR="00C23EFD" w:rsidP="00C23EFD" w:rsidRDefault="00C23EFD">
      <w:pPr>
        <w:pStyle w:val="headingunderline"/>
      </w:pPr>
    </w:p>
    <w:p w:rsidR="00C23EFD" w:rsidP="00C23EFD" w:rsidRDefault="00D10E66">
      <w:pPr>
        <w:rPr>
          <w:rStyle w:val="Hyperlink"/>
          <w:iCs/>
        </w:rPr>
      </w:pPr>
      <w:hyperlink w:history="1" w:anchor="_Non-medical_Prescribing_BSc/GradCer">
        <w:r w:rsidRPr="00F06087" w:rsidR="00C23EFD">
          <w:rPr>
            <w:rStyle w:val="Hyperlink"/>
            <w:iCs/>
          </w:rPr>
          <w:t xml:space="preserve">See Non-medical prescribing BSc/Grad Cert </w:t>
        </w:r>
      </w:hyperlink>
    </w:p>
    <w:p w:rsidRPr="00C23EFD" w:rsidR="00C23EFD" w:rsidP="00C23EFD" w:rsidRDefault="00C23EFD">
      <w:pPr>
        <w:rPr>
          <w:color w:val="FF0000"/>
          <w:u w:val="single"/>
        </w:rPr>
      </w:pPr>
    </w:p>
    <w:p w:rsidR="00C23EFD" w:rsidP="00C23EFD" w:rsidRDefault="00C23EFD"/>
    <w:p w:rsidR="004C4203" w:rsidP="006D7F09" w:rsidRDefault="006D7F09">
      <w:pPr>
        <w:pStyle w:val="NoSpacing"/>
      </w:pPr>
      <w:r>
        <w:t>The following regulations apply to the</w:t>
      </w:r>
      <w:r w:rsidR="005A3AC2">
        <w:t xml:space="preserve"> </w:t>
      </w:r>
      <w:proofErr w:type="spellStart"/>
      <w:r>
        <w:t>programmes</w:t>
      </w:r>
      <w:proofErr w:type="spellEnd"/>
      <w:r>
        <w:t xml:space="preserve"> listed below:</w:t>
      </w:r>
    </w:p>
    <w:p w:rsidR="009A767D" w:rsidP="00AA2D8A" w:rsidRDefault="009A767D">
      <w:pPr>
        <w:pStyle w:val="Heading3"/>
      </w:pPr>
      <w:bookmarkStart w:name="_Nursing_(Specialist_Practice)" w:id="27"/>
      <w:bookmarkStart w:name="_Toc507515667" w:id="28"/>
      <w:bookmarkEnd w:id="27"/>
      <w:r>
        <w:t xml:space="preserve">Nursing (Specialist Practice) </w:t>
      </w:r>
      <w:r w:rsidR="00A71FE9">
        <w:t xml:space="preserve">MSc </w:t>
      </w:r>
      <w:r>
        <w:t>with NMC SPQ (Adult Nursing/Learning Disability Nursing/Mental Health Nursing/General Practice Nursing/District Nursing)</w:t>
      </w:r>
      <w:r w:rsidR="00A71FE9">
        <w:t xml:space="preserve">, </w:t>
      </w:r>
      <w:r>
        <w:t>B70271</w:t>
      </w:r>
      <w:bookmarkEnd w:id="28"/>
    </w:p>
    <w:p w:rsidR="006B42D9" w:rsidP="006B42D9" w:rsidRDefault="006B42D9">
      <w:pPr>
        <w:pStyle w:val="additionalprogrammeheading"/>
      </w:pPr>
      <w:r>
        <w:t>Practice Nursing</w:t>
      </w:r>
      <w:r w:rsidRPr="00CA5DA5">
        <w:t xml:space="preserve"> </w:t>
      </w:r>
      <w:r>
        <w:t>PgCert, B70096</w:t>
      </w:r>
    </w:p>
    <w:p w:rsidR="00A85E4D" w:rsidP="00A85E4D" w:rsidRDefault="00A85E4D">
      <w:pPr>
        <w:pStyle w:val="NoSpacing"/>
      </w:pPr>
      <w:r>
        <w:t>Nursing and Midwifery Council</w:t>
      </w:r>
      <w:r w:rsidR="00B236DA">
        <w:t xml:space="preserve"> (NMC)</w:t>
      </w:r>
    </w:p>
    <w:p w:rsidR="006B42D9" w:rsidP="006B42D9" w:rsidRDefault="006B42D9">
      <w:pPr>
        <w:pStyle w:val="headingunderline"/>
      </w:pPr>
    </w:p>
    <w:p w:rsidR="009A767D" w:rsidP="00794FCC" w:rsidRDefault="005A3AC2">
      <w:pPr>
        <w:pStyle w:val="Heading4"/>
      </w:pPr>
      <w:r>
        <w:t xml:space="preserve">Unsafe practice </w:t>
      </w:r>
    </w:p>
    <w:p w:rsidR="009A767D" w:rsidP="009A767D" w:rsidRDefault="009A767D">
      <w:r>
        <w:t xml:space="preserve">Where an element of failure relates to unsafe practice, in either theory or practice, the module will be failed with a mark of </w:t>
      </w:r>
      <w:r w:rsidR="007423B8">
        <w:t>zero</w:t>
      </w:r>
      <w:r w:rsidR="000C5299">
        <w:t xml:space="preserve"> per cent</w:t>
      </w:r>
      <w:r>
        <w:t>.</w:t>
      </w:r>
    </w:p>
    <w:p w:rsidR="00EF1827" w:rsidP="009A767D" w:rsidRDefault="00EF1827"/>
    <w:p w:rsidR="00702EA8" w:rsidP="00702EA8" w:rsidRDefault="00702EA8">
      <w:pPr>
        <w:pStyle w:val="Heading3"/>
      </w:pPr>
    </w:p>
    <w:p w:rsidR="00702EA8" w:rsidP="00702EA8" w:rsidRDefault="00702EA8">
      <w:pPr>
        <w:pStyle w:val="Heading3"/>
      </w:pPr>
      <w:r>
        <w:t>Professional Clinical Practice MSc. PGDip, PGCert, B70272</w:t>
      </w:r>
    </w:p>
    <w:p w:rsidRPr="00BD62D2" w:rsidR="00702EA8" w:rsidP="00702EA8" w:rsidRDefault="00702EA8">
      <w:pPr>
        <w:pStyle w:val="headingunderline"/>
      </w:pPr>
    </w:p>
    <w:p w:rsidR="00702EA8" w:rsidP="00702EA8" w:rsidRDefault="00702EA8">
      <w:pPr>
        <w:pStyle w:val="Heading4"/>
      </w:pPr>
      <w:r>
        <w:t>Passing a module</w:t>
      </w:r>
    </w:p>
    <w:p w:rsidR="00702EA8" w:rsidP="00702EA8" w:rsidRDefault="00702EA8">
      <w:r>
        <w:t>All module components must be passed at 50 per cent. All zero-credit (pass/fail) components must be passed.</w:t>
      </w:r>
      <w:r w:rsidRPr="00401F6C">
        <w:t xml:space="preserve"> </w:t>
      </w:r>
    </w:p>
    <w:p w:rsidRPr="00290C24" w:rsidR="00702EA8" w:rsidP="00702EA8" w:rsidRDefault="00702EA8">
      <w:pPr>
        <w:rPr>
          <w:rFonts w:ascii="Century Gothic" w:hAnsi="Century Gothic"/>
        </w:rPr>
      </w:pPr>
    </w:p>
    <w:p w:rsidRPr="00290C24" w:rsidR="00702EA8" w:rsidP="00702EA8" w:rsidRDefault="00702EA8">
      <w:pPr>
        <w:pStyle w:val="ListParagraph"/>
        <w:numPr>
          <w:ilvl w:val="0"/>
          <w:numId w:val="0"/>
        </w:numPr>
        <w:rPr>
          <w:i/>
          <w:iCs/>
        </w:rPr>
      </w:pPr>
      <w:r w:rsidRPr="00290C24">
        <w:t xml:space="preserve">Students undertaking PRES </w:t>
      </w:r>
      <w:r>
        <w:t>5</w:t>
      </w:r>
      <w:r w:rsidRPr="00290C24">
        <w:t>005 Applied Prescribing Module will have one resit opportunity for each assessment component (the Reflection and the Portfolio).</w:t>
      </w:r>
    </w:p>
    <w:p w:rsidRPr="00290C24" w:rsidR="00702EA8" w:rsidP="00702EA8" w:rsidRDefault="00702EA8">
      <w:pPr>
        <w:pStyle w:val="ListParagraph"/>
        <w:numPr>
          <w:ilvl w:val="0"/>
          <w:numId w:val="0"/>
        </w:numPr>
        <w:rPr>
          <w:i/>
          <w:iCs/>
          <w:highlight w:val="yellow"/>
        </w:rPr>
      </w:pPr>
    </w:p>
    <w:p w:rsidR="00702EA8" w:rsidP="00702EA8" w:rsidRDefault="00702EA8">
      <w:pPr>
        <w:pStyle w:val="ListParagraph"/>
        <w:numPr>
          <w:ilvl w:val="0"/>
          <w:numId w:val="0"/>
        </w:numPr>
        <w:rPr>
          <w:i/>
          <w:iCs/>
        </w:rPr>
      </w:pPr>
      <w:r w:rsidRPr="00290C24">
        <w:t xml:space="preserve">Students undertaking PRES </w:t>
      </w:r>
      <w:r>
        <w:t>5</w:t>
      </w:r>
      <w:r w:rsidRPr="00290C24">
        <w:t>006 Pharmacology for Prescribers will have one re-sit opportunity for both the pharmacology exam and the assignment.</w:t>
      </w:r>
    </w:p>
    <w:p w:rsidRPr="00290C24" w:rsidR="00702EA8" w:rsidP="00702EA8" w:rsidRDefault="00702EA8">
      <w:pPr>
        <w:pStyle w:val="ListParagraph"/>
        <w:numPr>
          <w:ilvl w:val="0"/>
          <w:numId w:val="0"/>
        </w:numPr>
        <w:rPr>
          <w:i/>
          <w:iCs/>
        </w:rPr>
      </w:pPr>
    </w:p>
    <w:p w:rsidR="00702EA8" w:rsidP="00702EA8" w:rsidRDefault="00702EA8">
      <w:pPr>
        <w:pStyle w:val="ListParagraph"/>
        <w:numPr>
          <w:ilvl w:val="0"/>
          <w:numId w:val="0"/>
        </w:numPr>
        <w:rPr>
          <w:i/>
          <w:iCs/>
        </w:rPr>
      </w:pPr>
      <w:r w:rsidRPr="00290C24">
        <w:t xml:space="preserve">Students undertaking PRES </w:t>
      </w:r>
      <w:r>
        <w:t>5</w:t>
      </w:r>
      <w:r w:rsidRPr="00290C24">
        <w:t>006 Pharmacology for Prescribers will have one re-sit opportunity for the numeracy within the module. If the student fails both these attempts they will be allowed one final re-sit opportunity after the exam board.</w:t>
      </w:r>
    </w:p>
    <w:p w:rsidRPr="00290C24" w:rsidR="00702EA8" w:rsidP="00702EA8" w:rsidRDefault="00702EA8">
      <w:pPr>
        <w:pStyle w:val="ListParagraph"/>
        <w:numPr>
          <w:ilvl w:val="0"/>
          <w:numId w:val="0"/>
        </w:numPr>
        <w:rPr>
          <w:i/>
          <w:iCs/>
        </w:rPr>
      </w:pPr>
    </w:p>
    <w:p w:rsidRPr="00290C24" w:rsidR="00702EA8" w:rsidP="00702EA8" w:rsidRDefault="00702EA8">
      <w:pPr>
        <w:pStyle w:val="ListParagraph"/>
        <w:numPr>
          <w:ilvl w:val="0"/>
          <w:numId w:val="0"/>
        </w:numPr>
        <w:rPr>
          <w:i/>
          <w:iCs/>
        </w:rPr>
      </w:pPr>
      <w:r w:rsidRPr="00290C24">
        <w:t xml:space="preserve">The pass mark for the pharmacology exam in PRES </w:t>
      </w:r>
      <w:r>
        <w:t>50</w:t>
      </w:r>
      <w:r w:rsidRPr="00290C24">
        <w:t>06 Pharmacology for Prescribers is 80%</w:t>
      </w:r>
      <w:r>
        <w:t>.</w:t>
      </w:r>
    </w:p>
    <w:p w:rsidR="00702EA8" w:rsidP="00702EA8" w:rsidRDefault="00702EA8">
      <w:pPr>
        <w:pStyle w:val="ListParagraph"/>
        <w:numPr>
          <w:ilvl w:val="0"/>
          <w:numId w:val="0"/>
        </w:numPr>
        <w:rPr>
          <w:i/>
          <w:iCs/>
        </w:rPr>
      </w:pPr>
      <w:r w:rsidRPr="00290C24">
        <w:t xml:space="preserve">The pass mark for the numeracy exam in PRES </w:t>
      </w:r>
      <w:r>
        <w:t>5</w:t>
      </w:r>
      <w:r w:rsidRPr="00290C24">
        <w:t>006 Pharmacology for Prescribers is 100%</w:t>
      </w:r>
      <w:r>
        <w:t>.</w:t>
      </w:r>
    </w:p>
    <w:p w:rsidRPr="00290C24" w:rsidR="00702EA8" w:rsidP="00702EA8" w:rsidRDefault="00702EA8">
      <w:pPr>
        <w:pStyle w:val="ListParagraph"/>
        <w:numPr>
          <w:ilvl w:val="0"/>
          <w:numId w:val="0"/>
        </w:numPr>
        <w:rPr>
          <w:i/>
          <w:iCs/>
        </w:rPr>
      </w:pPr>
    </w:p>
    <w:p w:rsidR="00702EA8" w:rsidP="00702EA8" w:rsidRDefault="00702EA8">
      <w:pPr>
        <w:pStyle w:val="ListParagraph"/>
        <w:numPr>
          <w:ilvl w:val="0"/>
          <w:numId w:val="0"/>
        </w:numPr>
        <w:rPr>
          <w:rFonts w:ascii="Arial" w:hAnsi="Arial"/>
          <w:i/>
          <w:iCs/>
        </w:rPr>
      </w:pPr>
      <w:r w:rsidRPr="00290C24">
        <w:t>PRES</w:t>
      </w:r>
      <w:r>
        <w:t>5</w:t>
      </w:r>
      <w:r w:rsidRPr="00290C24">
        <w:t>005 and PRES</w:t>
      </w:r>
      <w:r>
        <w:t>5</w:t>
      </w:r>
      <w:r w:rsidRPr="00290C24">
        <w:t>006 must be taken together and must both be passed.</w:t>
      </w:r>
    </w:p>
    <w:p w:rsidR="00702EA8" w:rsidP="00702EA8" w:rsidRDefault="00702EA8"/>
    <w:p w:rsidR="00702EA8" w:rsidP="00702EA8" w:rsidRDefault="00702EA8">
      <w:pPr>
        <w:pStyle w:val="Heading4"/>
      </w:pPr>
      <w:r>
        <w:t>Maximum periods of registration</w:t>
      </w:r>
      <w:r>
        <w:tab/>
      </w:r>
    </w:p>
    <w:p w:rsidR="00702EA8" w:rsidP="00702EA8" w:rsidRDefault="00702EA8">
      <w:r>
        <w:t>The maximum periods of registration will normally be two years on the PG Cert and four years on the PG Dip and six years on the MSc.</w:t>
      </w:r>
    </w:p>
    <w:p w:rsidR="00702EA8" w:rsidP="00702EA8" w:rsidRDefault="00702EA8"/>
    <w:p w:rsidR="00702EA8" w:rsidP="00702EA8" w:rsidRDefault="00702EA8">
      <w:pPr>
        <w:rPr>
          <w:rFonts w:asciiTheme="majorHAnsi" w:hAnsiTheme="majorHAnsi"/>
          <w:b/>
          <w:color w:val="548AB7" w:themeColor="accent1" w:themeShade="BF"/>
          <w:sz w:val="24"/>
          <w:szCs w:val="24"/>
        </w:rPr>
      </w:pPr>
      <w:r w:rsidRPr="00702EA8">
        <w:rPr>
          <w:rFonts w:asciiTheme="majorHAnsi" w:hAnsiTheme="majorHAnsi"/>
          <w:b/>
          <w:color w:val="548AB7" w:themeColor="accent1" w:themeShade="BF"/>
          <w:sz w:val="24"/>
          <w:szCs w:val="24"/>
        </w:rPr>
        <w:t xml:space="preserve">Social Work </w:t>
      </w:r>
      <w:r>
        <w:rPr>
          <w:rFonts w:asciiTheme="majorHAnsi" w:hAnsiTheme="majorHAnsi"/>
          <w:b/>
          <w:color w:val="548AB7" w:themeColor="accent1" w:themeShade="BF"/>
          <w:sz w:val="24"/>
          <w:szCs w:val="24"/>
        </w:rPr>
        <w:t xml:space="preserve">(MA), </w:t>
      </w:r>
      <w:r w:rsidRPr="00702EA8">
        <w:rPr>
          <w:rFonts w:asciiTheme="majorHAnsi" w:hAnsiTheme="majorHAnsi"/>
          <w:b/>
          <w:color w:val="548AB7" w:themeColor="accent1" w:themeShade="BF"/>
          <w:sz w:val="24"/>
          <w:szCs w:val="24"/>
        </w:rPr>
        <w:t>L50080</w:t>
      </w:r>
    </w:p>
    <w:p w:rsidRPr="00702EA8" w:rsidR="00702EA8" w:rsidP="00702EA8" w:rsidRDefault="00702EA8">
      <w:pPr>
        <w:rPr>
          <w:rFonts w:asciiTheme="majorHAnsi" w:hAnsiTheme="majorHAnsi"/>
          <w:b/>
          <w:i/>
          <w:color w:val="548AB7" w:themeColor="accent1" w:themeShade="BF"/>
          <w:sz w:val="24"/>
          <w:szCs w:val="24"/>
        </w:rPr>
      </w:pPr>
      <w:r w:rsidRPr="00702EA8">
        <w:rPr>
          <w:i/>
          <w:color w:val="548AB7" w:themeColor="accent1" w:themeShade="BF"/>
        </w:rPr>
        <w:t>Social Work England (SWE)</w:t>
      </w:r>
    </w:p>
    <w:p w:rsidR="00702EA8" w:rsidP="00702EA8" w:rsidRDefault="00702EA8">
      <w:pPr>
        <w:pStyle w:val="NoSpacing"/>
      </w:pPr>
      <w:r>
        <w:t>_______________________________________________________________________________________</w:t>
      </w:r>
    </w:p>
    <w:p w:rsidR="00702EA8" w:rsidP="009A767D" w:rsidRDefault="00702EA8"/>
    <w:p w:rsidR="00702EA8" w:rsidP="00702EA8" w:rsidRDefault="00702EA8">
      <w:pPr>
        <w:pStyle w:val="Heading4"/>
        <w:rPr>
          <w:rFonts w:eastAsia="Times New Roman"/>
          <w:color w:val="76923C"/>
        </w:rPr>
      </w:pPr>
      <w:r>
        <w:rPr>
          <w:rFonts w:eastAsia="Times New Roman"/>
        </w:rPr>
        <w:t xml:space="preserve">Progression to second year of the programme </w:t>
      </w:r>
    </w:p>
    <w:p w:rsidR="00702EA8" w:rsidP="00702EA8" w:rsidRDefault="00702EA8">
      <w:pPr>
        <w:rPr>
          <w:color w:val="000000"/>
        </w:rPr>
      </w:pPr>
      <w:r>
        <w:rPr>
          <w:color w:val="000000"/>
        </w:rPr>
        <w:t>Students must satisfy the attendance requirement of 70 per cent for all academic modules. Students will have to re-attend the module the following year for any failed modules.</w:t>
      </w:r>
    </w:p>
    <w:p w:rsidRPr="00702EA8" w:rsidR="00702EA8" w:rsidP="00702EA8" w:rsidRDefault="00702EA8">
      <w:pPr>
        <w:rPr>
          <w:rFonts w:cs="Arial"/>
        </w:rPr>
      </w:pPr>
      <w:r>
        <w:t xml:space="preserve"> </w:t>
      </w:r>
    </w:p>
    <w:p w:rsidR="00702EA8" w:rsidP="00702EA8" w:rsidRDefault="00702EA8">
      <w:r>
        <w:t>No student can start their first placement in year 2 without having passed all academic parts of all modules.</w:t>
      </w:r>
    </w:p>
    <w:p w:rsidR="00702EA8" w:rsidP="009A767D" w:rsidRDefault="00702EA8"/>
    <w:p w:rsidR="00702EA8" w:rsidP="009A767D" w:rsidRDefault="00702EA8"/>
    <w:p w:rsidR="00953555" w:rsidP="00953555" w:rsidRDefault="00953555">
      <w:pPr>
        <w:pStyle w:val="additionalprogrammeheading"/>
      </w:pPr>
      <w:r>
        <w:t>Specialist Community Public Health Nursing (Health Visiting</w:t>
      </w:r>
      <w:r w:rsidR="00595DDD">
        <w:t>)</w:t>
      </w:r>
      <w:r>
        <w:t xml:space="preserve"> or </w:t>
      </w:r>
      <w:r w:rsidR="00595DDD">
        <w:t>(</w:t>
      </w:r>
      <w:r>
        <w:t>School Nursing) MSc/PGDip, B71072</w:t>
      </w:r>
    </w:p>
    <w:p w:rsidR="00953555" w:rsidP="00953555" w:rsidRDefault="00953555">
      <w:pPr>
        <w:pStyle w:val="NoSpacing"/>
      </w:pPr>
      <w:r>
        <w:t>Nursing and Midwifery Council (NMC)</w:t>
      </w:r>
    </w:p>
    <w:p w:rsidR="00953555" w:rsidP="00953555" w:rsidRDefault="00953555">
      <w:pPr>
        <w:pStyle w:val="NoSpacing"/>
      </w:pPr>
      <w:r>
        <w:t>_______________________________________________________________________________________</w:t>
      </w:r>
    </w:p>
    <w:p w:rsidR="00953555" w:rsidP="00953555" w:rsidRDefault="00953555">
      <w:pPr>
        <w:pStyle w:val="Heading4"/>
      </w:pPr>
      <w:r>
        <w:t>Passing a module/Compensation</w:t>
      </w:r>
    </w:p>
    <w:p w:rsidR="00953555" w:rsidP="00953555" w:rsidRDefault="00953555">
      <w:r>
        <w:t>All module components must be passed at 50 per cent. All zero-credit (pass/fail) components must be passed.</w:t>
      </w:r>
      <w:r w:rsidRPr="00FD5E4C">
        <w:t xml:space="preserve"> </w:t>
      </w:r>
      <w:r>
        <w:t>No compensation is available.</w:t>
      </w:r>
    </w:p>
    <w:p w:rsidR="00953555" w:rsidP="00953555" w:rsidRDefault="00953555"/>
    <w:p w:rsidR="00953555" w:rsidP="00953555" w:rsidRDefault="00953555">
      <w:pPr>
        <w:pStyle w:val="Heading4"/>
      </w:pPr>
      <w:r>
        <w:t>Reassessment of failure</w:t>
      </w:r>
    </w:p>
    <w:p w:rsidR="00953555" w:rsidP="00953555" w:rsidRDefault="00953555">
      <w:r>
        <w:t>A student will have a maximum of 60 credits of reassessment opportunities at each level of study.</w:t>
      </w:r>
    </w:p>
    <w:p w:rsidR="00953555" w:rsidP="00953555" w:rsidRDefault="00953555"/>
    <w:p w:rsidR="00953555" w:rsidP="00953555" w:rsidRDefault="00953555">
      <w:pPr>
        <w:pStyle w:val="Heading4"/>
      </w:pPr>
      <w:r>
        <w:t xml:space="preserve">Unsafe practice </w:t>
      </w:r>
    </w:p>
    <w:p w:rsidR="00953555" w:rsidP="00953555" w:rsidRDefault="00953555">
      <w:r>
        <w:t>Where an element of failure relates to unsafe practice, in either theory or practice, the module will be failed with a mark of zero per cent.</w:t>
      </w:r>
    </w:p>
    <w:p w:rsidR="00EF1827" w:rsidP="009A767D" w:rsidRDefault="00EF1827"/>
    <w:p w:rsidR="00953555" w:rsidP="009A767D" w:rsidRDefault="00953555"/>
    <w:p w:rsidR="009A767D" w:rsidP="00794FCC" w:rsidRDefault="0029408A">
      <w:pPr>
        <w:pStyle w:val="Heading3"/>
      </w:pPr>
      <w:bookmarkStart w:name="_Toc507515668" w:id="29"/>
      <w:r>
        <w:t>Pharmacy (</w:t>
      </w:r>
      <w:r w:rsidR="00F06087">
        <w:t>CPD</w:t>
      </w:r>
      <w:r>
        <w:t xml:space="preserve">), </w:t>
      </w:r>
      <w:r w:rsidR="009A767D">
        <w:t>B23091</w:t>
      </w:r>
      <w:bookmarkEnd w:id="29"/>
    </w:p>
    <w:p w:rsidR="009A767D" w:rsidP="0029408A" w:rsidRDefault="005A3AC2">
      <w:pPr>
        <w:pStyle w:val="NoSpacing"/>
      </w:pPr>
      <w:r>
        <w:t>General Pharmaceutical Council (</w:t>
      </w:r>
      <w:proofErr w:type="spellStart"/>
      <w:r>
        <w:t>GPhC</w:t>
      </w:r>
      <w:proofErr w:type="spellEnd"/>
      <w:r>
        <w:t>)</w:t>
      </w:r>
      <w:r w:rsidR="009A767D">
        <w:t xml:space="preserve"> for </w:t>
      </w:r>
      <w:r w:rsidR="00EF1827">
        <w:t>Independent Prescribing</w:t>
      </w:r>
      <w:r>
        <w:t xml:space="preserve"> only</w:t>
      </w:r>
    </w:p>
    <w:p w:rsidR="0029408A" w:rsidP="0029408A" w:rsidRDefault="0029408A">
      <w:pPr>
        <w:pStyle w:val="headingunderline"/>
      </w:pPr>
    </w:p>
    <w:p w:rsidR="009A767D" w:rsidP="00794FCC" w:rsidRDefault="005A3AC2">
      <w:pPr>
        <w:pStyle w:val="Heading4"/>
      </w:pPr>
      <w:r>
        <w:t>Module assessment</w:t>
      </w:r>
      <w:r w:rsidR="009A767D">
        <w:tab/>
      </w:r>
    </w:p>
    <w:p w:rsidR="009A767D" w:rsidP="009A767D" w:rsidRDefault="009A767D">
      <w:r>
        <w:t xml:space="preserve">For the </w:t>
      </w:r>
      <w:r w:rsidR="00EF1827">
        <w:t>independent prescribing</w:t>
      </w:r>
      <w:r>
        <w:t xml:space="preserve"> module (PHAR5557 and PHAR5556), any error or action in a summative assessment which may potentially cause the patient harm will be reviewed in light of the</w:t>
      </w:r>
      <w:r w:rsidR="00EF1827">
        <w:t xml:space="preserve"> National Patient Safety Agency (NPSA)</w:t>
      </w:r>
      <w:r>
        <w:t xml:space="preserve"> (2010) traffic light system and the NHS (2</w:t>
      </w:r>
      <w:r w:rsidR="00E07777">
        <w:t xml:space="preserve">013) </w:t>
      </w:r>
      <w:r w:rsidR="00EF1827">
        <w:t>serious incident framework</w:t>
      </w:r>
      <w:r w:rsidR="00E07777">
        <w:t xml:space="preserve"> </w:t>
      </w:r>
      <w:r>
        <w:t xml:space="preserve">criteria. This review will take place by a panel which will consist of a minimum of the module leader, the internal moderator and the programme leader with advice from the doctor teaching the clinical skills section. </w:t>
      </w:r>
    </w:p>
    <w:p w:rsidR="0029408A" w:rsidP="009A767D" w:rsidRDefault="0029408A"/>
    <w:p w:rsidR="009A767D" w:rsidP="009A767D" w:rsidRDefault="009A767D">
      <w:r>
        <w:t xml:space="preserve">Incidents which are classed as red, </w:t>
      </w:r>
      <w:proofErr w:type="spellStart"/>
      <w:r w:rsidR="007423B8">
        <w:t>ie</w:t>
      </w:r>
      <w:proofErr w:type="spellEnd"/>
      <w:r>
        <w:t xml:space="preserve"> causing significant or catastrophic </w:t>
      </w:r>
      <w:proofErr w:type="gramStart"/>
      <w:r>
        <w:t>long term</w:t>
      </w:r>
      <w:proofErr w:type="gramEnd"/>
      <w:r>
        <w:t xml:space="preserve"> patient impact, or serious incidents </w:t>
      </w:r>
      <w:proofErr w:type="spellStart"/>
      <w:r w:rsidR="007423B8">
        <w:t>eg</w:t>
      </w:r>
      <w:proofErr w:type="spellEnd"/>
      <w:r w:rsidR="00EF1827">
        <w:t xml:space="preserve"> ‘</w:t>
      </w:r>
      <w:r>
        <w:t>never events</w:t>
      </w:r>
      <w:r w:rsidR="00EF1827">
        <w:t>’</w:t>
      </w:r>
      <w:r>
        <w:t xml:space="preserve"> will result in an overall failure of the </w:t>
      </w:r>
      <w:r w:rsidR="00EF1827">
        <w:t>independent prescribing</w:t>
      </w:r>
      <w:r>
        <w:t xml:space="preserve"> module and will require resubmission of all of the assessments, not just the one failed. </w:t>
      </w:r>
    </w:p>
    <w:p w:rsidR="0029408A" w:rsidP="009A767D" w:rsidRDefault="0029408A"/>
    <w:p w:rsidR="009A767D" w:rsidP="009A767D" w:rsidRDefault="009A767D">
      <w:r>
        <w:t xml:space="preserve">Incidents which are classed as amber </w:t>
      </w:r>
      <w:proofErr w:type="spellStart"/>
      <w:r w:rsidR="007423B8">
        <w:t>eg</w:t>
      </w:r>
      <w:proofErr w:type="spellEnd"/>
      <w:r>
        <w:t xml:space="preserve"> risk of </w:t>
      </w:r>
      <w:proofErr w:type="gramStart"/>
      <w:r>
        <w:t>short term</w:t>
      </w:r>
      <w:proofErr w:type="gramEnd"/>
      <w:r>
        <w:t xml:space="preserve"> patient impact, will result in failure of the relevant assessment with a mark of </w:t>
      </w:r>
      <w:r w:rsidR="007423B8">
        <w:t>zero</w:t>
      </w:r>
      <w:r w:rsidR="000C5299">
        <w:t xml:space="preserve"> per cent</w:t>
      </w:r>
      <w:r>
        <w:t xml:space="preserve">. Only the failed assessment must be re-submitted. </w:t>
      </w:r>
    </w:p>
    <w:p w:rsidR="0029408A" w:rsidP="009A767D" w:rsidRDefault="0029408A"/>
    <w:p w:rsidR="009A767D" w:rsidP="009A767D" w:rsidRDefault="009A767D">
      <w:r>
        <w:t xml:space="preserve">Incidents which are classed as green </w:t>
      </w:r>
      <w:proofErr w:type="spellStart"/>
      <w:r w:rsidR="007423B8">
        <w:t>eg</w:t>
      </w:r>
      <w:proofErr w:type="spellEnd"/>
      <w:r>
        <w:t xml:space="preserve"> where no clinical error has taken place and there is no or negligible risk of patient impact, will result in appropriate advice but not a failure of the relevant component. </w:t>
      </w:r>
    </w:p>
    <w:p w:rsidR="007B4D7B" w:rsidP="009A767D" w:rsidRDefault="007B4D7B"/>
    <w:p w:rsidR="009A767D" w:rsidP="009A767D" w:rsidRDefault="009A767D">
      <w:r>
        <w:t xml:space="preserve"> </w:t>
      </w:r>
    </w:p>
    <w:p w:rsidR="009A767D" w:rsidP="00794FCC" w:rsidRDefault="0029408A">
      <w:pPr>
        <w:pStyle w:val="Heading3"/>
      </w:pPr>
      <w:bookmarkStart w:name="_Toc507515669" w:id="30"/>
      <w:r>
        <w:t xml:space="preserve">Physician Associate Studies MSc, </w:t>
      </w:r>
      <w:r w:rsidR="009A767D">
        <w:t>B96071</w:t>
      </w:r>
      <w:bookmarkEnd w:id="30"/>
      <w:r w:rsidR="00607A2F">
        <w:t xml:space="preserve"> </w:t>
      </w:r>
    </w:p>
    <w:p w:rsidR="009A767D" w:rsidP="0029408A" w:rsidRDefault="009A767D">
      <w:pPr>
        <w:pStyle w:val="headingunderline"/>
      </w:pPr>
    </w:p>
    <w:p w:rsidRPr="00D83599" w:rsidR="00E52037" w:rsidP="00E52037" w:rsidRDefault="00E52037">
      <w:pPr>
        <w:pStyle w:val="Heading4"/>
      </w:pPr>
      <w:r w:rsidRPr="00D83599">
        <w:t>Programme Specific Regulations</w:t>
      </w:r>
    </w:p>
    <w:p w:rsidR="00E52037" w:rsidP="00E52037" w:rsidRDefault="00E52037">
      <w:pPr>
        <w:pStyle w:val="Heading4"/>
      </w:pPr>
      <w:r>
        <w:t>Eligibility to start postgraduate dissertation, major project and design work</w:t>
      </w:r>
    </w:p>
    <w:p w:rsidRPr="00D83599" w:rsidR="00E52037" w:rsidP="00E52037" w:rsidRDefault="00E52037">
      <w:r w:rsidRPr="00D83599">
        <w:t>In order to become eligible to start the Practice-Related Project (PHAS5006), students must normally have passed 60 of the 120 credits at first attempt including Clinical and Professional Skills (PHAS5003).</w:t>
      </w:r>
    </w:p>
    <w:p w:rsidR="00E52037" w:rsidP="00E52037" w:rsidRDefault="00E52037"/>
    <w:p w:rsidR="00E52037" w:rsidP="00E52037" w:rsidRDefault="00E52037">
      <w:r w:rsidRPr="00D83599">
        <w:t xml:space="preserve">Before starting on the year two placements, </w:t>
      </w:r>
      <w:r w:rsidRPr="00D83599" w:rsidR="006A5125">
        <w:t>students must normally have passed Clinical and Professional Skills (PHAS5003).</w:t>
      </w:r>
    </w:p>
    <w:p w:rsidR="002B3AE6" w:rsidP="00E52037" w:rsidRDefault="002B3AE6"/>
    <w:p w:rsidR="00E52037" w:rsidP="00E52037" w:rsidRDefault="00E52037">
      <w:pPr>
        <w:pStyle w:val="Heading4"/>
      </w:pPr>
      <w:r>
        <w:t xml:space="preserve">Awards of the university </w:t>
      </w:r>
    </w:p>
    <w:p w:rsidR="00E52037" w:rsidP="00E52037" w:rsidRDefault="00E52037">
      <w:r>
        <w:t xml:space="preserve">The award of the MSc Physician Associate Studies will be awarded only if all components have been passed, including the national exam. </w:t>
      </w:r>
    </w:p>
    <w:p w:rsidR="00E52037" w:rsidP="00E52037" w:rsidRDefault="00E52037"/>
    <w:p w:rsidR="00E52037" w:rsidP="00E52037" w:rsidRDefault="00E52037">
      <w:r>
        <w:t>A PgCert Clinical Sciences will be awarded if 60 credits have been passed from the first year of study.</w:t>
      </w:r>
    </w:p>
    <w:p w:rsidR="00E52037" w:rsidP="00E52037" w:rsidRDefault="00E52037"/>
    <w:p w:rsidRPr="00D83599" w:rsidR="00E52037" w:rsidP="00E52037" w:rsidRDefault="00E52037">
      <w:r w:rsidRPr="00D83599">
        <w:t xml:space="preserve">A </w:t>
      </w:r>
      <w:proofErr w:type="spellStart"/>
      <w:r w:rsidRPr="00D83599">
        <w:t>PgDip</w:t>
      </w:r>
      <w:proofErr w:type="spellEnd"/>
      <w:r w:rsidRPr="00D83599">
        <w:t xml:space="preserve"> Clinical Sciences will be awarded if 120 credits have been passed (not including Practice-Related Project</w:t>
      </w:r>
      <w:r w:rsidRPr="00D83599" w:rsidR="006A5125">
        <w:t xml:space="preserve"> (PHAS5006)</w:t>
      </w:r>
      <w:r w:rsidRPr="00D83599">
        <w:t xml:space="preserve">) </w:t>
      </w:r>
      <w:r w:rsidRPr="00D83599" w:rsidR="006A5125">
        <w:t>but the student has failed C</w:t>
      </w:r>
      <w:r w:rsidRPr="00D83599">
        <w:t xml:space="preserve">linical </w:t>
      </w:r>
      <w:r w:rsidRPr="00D83599" w:rsidR="006A5125">
        <w:t>P</w:t>
      </w:r>
      <w:r w:rsidRPr="00D83599">
        <w:t>ortfolio</w:t>
      </w:r>
      <w:r w:rsidRPr="00D83599" w:rsidR="006A5125">
        <w:t xml:space="preserve"> (PHAS5007)</w:t>
      </w:r>
      <w:r w:rsidRPr="00D83599">
        <w:t>.</w:t>
      </w:r>
    </w:p>
    <w:p w:rsidR="00E52037" w:rsidP="00E52037" w:rsidRDefault="00E52037"/>
    <w:p w:rsidRPr="00D83599" w:rsidR="00E52037" w:rsidP="00E52037" w:rsidRDefault="00E52037">
      <w:r w:rsidRPr="00D83599">
        <w:t>An MSc Clinical Sciences will be awarded if 180 credits have been passed (but not the Clinical Portfolio</w:t>
      </w:r>
      <w:r w:rsidRPr="00D83599" w:rsidR="006A5125">
        <w:t xml:space="preserve"> (PHAS5007)</w:t>
      </w:r>
      <w:r w:rsidRPr="00D83599">
        <w:t xml:space="preserve"> or National Exam</w:t>
      </w:r>
      <w:r w:rsidRPr="00D83599" w:rsidR="006A5125">
        <w:t xml:space="preserve"> (PHAS5008)</w:t>
      </w:r>
      <w:r w:rsidRPr="00D83599">
        <w:t>).</w:t>
      </w:r>
    </w:p>
    <w:p w:rsidRPr="00D83599" w:rsidR="00E52037" w:rsidP="00E52037" w:rsidRDefault="00E52037"/>
    <w:p w:rsidR="00E52037" w:rsidP="00E52037" w:rsidRDefault="00E52037">
      <w:r w:rsidRPr="00D83599">
        <w:t xml:space="preserve">A </w:t>
      </w:r>
      <w:proofErr w:type="spellStart"/>
      <w:r w:rsidRPr="00D83599">
        <w:t>PgDip</w:t>
      </w:r>
      <w:proofErr w:type="spellEnd"/>
      <w:r w:rsidRPr="00D83599">
        <w:t xml:space="preserve"> Physician Associate Studies will be awarded if the following have been passed: 120 credits, Clinical Portfolio</w:t>
      </w:r>
      <w:r w:rsidRPr="00D83599" w:rsidR="006A5125">
        <w:t xml:space="preserve"> (PHAS5007)</w:t>
      </w:r>
      <w:r w:rsidRPr="00D83599">
        <w:t>, National Exam</w:t>
      </w:r>
      <w:r w:rsidRPr="00D83599" w:rsidR="006A5125">
        <w:t xml:space="preserve"> (PHAS5008)</w:t>
      </w:r>
      <w:r w:rsidRPr="00D83599">
        <w:t xml:space="preserve"> (but the student has failed the Practice-Related Project</w:t>
      </w:r>
      <w:r w:rsidRPr="00D83599" w:rsidR="006A5125">
        <w:t xml:space="preserve"> (PHAS5006)</w:t>
      </w:r>
      <w:r w:rsidRPr="00D83599">
        <w:t>).</w:t>
      </w:r>
    </w:p>
    <w:p w:rsidRPr="00D83599" w:rsidR="00C6011B" w:rsidP="00E52037" w:rsidRDefault="00C6011B"/>
    <w:p w:rsidR="00EF1827" w:rsidP="009A767D" w:rsidRDefault="00EF1827"/>
    <w:p w:rsidR="004F5FC9" w:rsidP="004F5FC9" w:rsidRDefault="004F5FC9">
      <w:pPr>
        <w:pStyle w:val="Heading3"/>
      </w:pPr>
      <w:bookmarkStart w:name="_Toc507515670" w:id="31"/>
      <w:r>
        <w:t>Practice Nursing</w:t>
      </w:r>
      <w:r w:rsidRPr="00CA5DA5">
        <w:t xml:space="preserve"> </w:t>
      </w:r>
      <w:r>
        <w:t>PgCert, B70096</w:t>
      </w:r>
      <w:bookmarkEnd w:id="31"/>
    </w:p>
    <w:p w:rsidR="004F5FC9" w:rsidP="004F5FC9" w:rsidRDefault="004F5FC9">
      <w:pPr>
        <w:pStyle w:val="headingunderline"/>
      </w:pPr>
    </w:p>
    <w:p w:rsidRPr="00D4151D" w:rsidR="004F5FC9" w:rsidP="004F5FC9" w:rsidRDefault="004F5FC9">
      <w:pPr>
        <w:rPr>
          <w:strike/>
          <w:color w:val="FF0000"/>
        </w:rPr>
      </w:pPr>
    </w:p>
    <w:p w:rsidRPr="00D83599" w:rsidR="00D4151D" w:rsidP="00D4151D" w:rsidRDefault="00D4151D">
      <w:pPr>
        <w:pStyle w:val="Heading4"/>
      </w:pPr>
      <w:r w:rsidRPr="00D83599">
        <w:t>Introduction to programmes and modules</w:t>
      </w:r>
    </w:p>
    <w:p w:rsidRPr="00D83599" w:rsidR="00D4151D" w:rsidP="00D4151D" w:rsidRDefault="00D4151D">
      <w:r w:rsidRPr="00D83599">
        <w:t>The programme consists of one 60 credit module.</w:t>
      </w:r>
    </w:p>
    <w:p w:rsidRPr="00D4151D" w:rsidR="00D4151D" w:rsidP="00D4151D" w:rsidRDefault="00D4151D">
      <w:pPr>
        <w:rPr>
          <w:color w:val="FF0000"/>
        </w:rPr>
      </w:pPr>
    </w:p>
    <w:p w:rsidRPr="00D83599" w:rsidR="00D4151D" w:rsidP="00D4151D" w:rsidRDefault="00D4151D">
      <w:pPr>
        <w:pStyle w:val="Heading4"/>
      </w:pPr>
      <w:r w:rsidRPr="00D83599">
        <w:t>Passing a module/Compensation</w:t>
      </w:r>
    </w:p>
    <w:p w:rsidR="00D4151D" w:rsidP="00D4151D" w:rsidRDefault="00D4151D">
      <w:r w:rsidRPr="00D83599">
        <w:t xml:space="preserve">All </w:t>
      </w:r>
      <w:r w:rsidR="00C54D4C">
        <w:t xml:space="preserve">essential </w:t>
      </w:r>
      <w:r w:rsidRPr="00D83599">
        <w:t xml:space="preserve">module components must be passed at 50 per cent. All zero-credit (pass/fail) components must be passed. </w:t>
      </w:r>
    </w:p>
    <w:p w:rsidRPr="00D4151D" w:rsidR="00D83599" w:rsidP="00D4151D" w:rsidRDefault="00D83599">
      <w:pPr>
        <w:rPr>
          <w:color w:val="FF0000"/>
        </w:rPr>
      </w:pPr>
    </w:p>
    <w:p w:rsidRPr="00D83599" w:rsidR="00D4151D" w:rsidP="00D4151D" w:rsidRDefault="00D4151D">
      <w:pPr>
        <w:pStyle w:val="Heading4"/>
      </w:pPr>
      <w:r w:rsidRPr="00D83599">
        <w:t>Reassessment of failure</w:t>
      </w:r>
    </w:p>
    <w:p w:rsidRPr="00D83599" w:rsidR="00D4151D" w:rsidP="00D4151D" w:rsidRDefault="00D4151D">
      <w:r w:rsidRPr="00D83599">
        <w:t xml:space="preserve">60 credits of reassessment are available. </w:t>
      </w:r>
    </w:p>
    <w:p w:rsidR="004F5FC9" w:rsidP="00794FCC" w:rsidRDefault="004F5FC9"/>
    <w:p w:rsidR="009D300F" w:rsidP="00794FCC" w:rsidRDefault="009D300F"/>
    <w:p w:rsidR="001A484F" w:rsidP="00794FCC" w:rsidRDefault="001A484F"/>
    <w:p w:rsidR="001A484F" w:rsidP="00794FCC" w:rsidRDefault="001A484F"/>
    <w:p w:rsidR="001A484F" w:rsidP="001A484F" w:rsidRDefault="001A484F">
      <w:pPr>
        <w:pStyle w:val="Heading3"/>
      </w:pPr>
      <w:r>
        <w:t xml:space="preserve">Professional Clinical Practice </w:t>
      </w:r>
      <w:r w:rsidR="00AB3917">
        <w:t>M</w:t>
      </w:r>
      <w:r>
        <w:t>Sc/</w:t>
      </w:r>
      <w:r w:rsidR="00AB3917">
        <w:t>PGDip</w:t>
      </w:r>
      <w:r>
        <w:t>/</w:t>
      </w:r>
      <w:r w:rsidR="00AB3917">
        <w:t>PGCert</w:t>
      </w:r>
      <w:r>
        <w:t>, B70</w:t>
      </w:r>
      <w:r w:rsidR="00AB3917">
        <w:t>272</w:t>
      </w:r>
    </w:p>
    <w:p w:rsidRPr="00BD62D2" w:rsidR="001A484F" w:rsidP="001A484F" w:rsidRDefault="001A484F">
      <w:pPr>
        <w:pStyle w:val="headingunderline"/>
      </w:pPr>
    </w:p>
    <w:p w:rsidR="001A484F" w:rsidP="001A484F" w:rsidRDefault="001A484F">
      <w:pPr>
        <w:pStyle w:val="Heading4"/>
      </w:pPr>
      <w:r>
        <w:t>Passing a module</w:t>
      </w:r>
    </w:p>
    <w:p w:rsidRPr="00290C24" w:rsidR="001A484F" w:rsidP="001A484F" w:rsidRDefault="001A484F">
      <w:pPr>
        <w:rPr>
          <w:rFonts w:ascii="Century Gothic" w:hAnsi="Century Gothic"/>
        </w:rPr>
      </w:pPr>
    </w:p>
    <w:p w:rsidRPr="00290C24" w:rsidR="001A484F" w:rsidP="001A484F" w:rsidRDefault="001A484F">
      <w:pPr>
        <w:pStyle w:val="ListParagraph"/>
        <w:numPr>
          <w:ilvl w:val="0"/>
          <w:numId w:val="0"/>
        </w:numPr>
        <w:rPr>
          <w:i/>
          <w:iCs/>
        </w:rPr>
      </w:pPr>
      <w:r w:rsidRPr="00290C24">
        <w:t xml:space="preserve">Students undertaking PRES </w:t>
      </w:r>
      <w:r w:rsidR="00AB3917">
        <w:t>5</w:t>
      </w:r>
      <w:r w:rsidRPr="00290C24">
        <w:t>005 Applied Prescribing Module will have one resit opportunity for each assessment component (the Reflection and the Portfolio).</w:t>
      </w:r>
    </w:p>
    <w:p w:rsidRPr="00290C24" w:rsidR="001A484F" w:rsidP="001A484F" w:rsidRDefault="001A484F">
      <w:pPr>
        <w:pStyle w:val="ListParagraph"/>
        <w:numPr>
          <w:ilvl w:val="0"/>
          <w:numId w:val="0"/>
        </w:numPr>
        <w:rPr>
          <w:i/>
          <w:iCs/>
          <w:highlight w:val="yellow"/>
        </w:rPr>
      </w:pPr>
    </w:p>
    <w:p w:rsidR="001A484F" w:rsidP="001A484F" w:rsidRDefault="001A484F">
      <w:pPr>
        <w:pStyle w:val="ListParagraph"/>
        <w:numPr>
          <w:ilvl w:val="0"/>
          <w:numId w:val="0"/>
        </w:numPr>
        <w:rPr>
          <w:i/>
          <w:iCs/>
        </w:rPr>
      </w:pPr>
      <w:r w:rsidRPr="00290C24">
        <w:t xml:space="preserve">Students undertaking PRES </w:t>
      </w:r>
      <w:r w:rsidR="00AB3917">
        <w:t>5</w:t>
      </w:r>
      <w:r w:rsidRPr="00290C24">
        <w:t>006 Pharmacology for Prescribers will have one re-sit opportunity for both the pharmacology exam and the assignment.</w:t>
      </w:r>
    </w:p>
    <w:p w:rsidRPr="00290C24" w:rsidR="001A484F" w:rsidP="001A484F" w:rsidRDefault="001A484F">
      <w:pPr>
        <w:pStyle w:val="ListParagraph"/>
        <w:numPr>
          <w:ilvl w:val="0"/>
          <w:numId w:val="0"/>
        </w:numPr>
        <w:rPr>
          <w:i/>
          <w:iCs/>
        </w:rPr>
      </w:pPr>
    </w:p>
    <w:p w:rsidR="001A484F" w:rsidP="001A484F" w:rsidRDefault="001A484F">
      <w:pPr>
        <w:pStyle w:val="ListParagraph"/>
        <w:numPr>
          <w:ilvl w:val="0"/>
          <w:numId w:val="0"/>
        </w:numPr>
        <w:rPr>
          <w:i/>
          <w:iCs/>
        </w:rPr>
      </w:pPr>
      <w:r w:rsidRPr="00290C24">
        <w:t xml:space="preserve">Students undertaking PRES </w:t>
      </w:r>
      <w:r w:rsidR="00AB3917">
        <w:t>5</w:t>
      </w:r>
      <w:r w:rsidRPr="00290C24">
        <w:t>006 Pharmacology for Prescribers will have one re-sit opportunity for the numeracy within the module. If the student fails both these attempts they will be allowed one final re-sit opportunity after the exam board.</w:t>
      </w:r>
    </w:p>
    <w:p w:rsidRPr="00290C24" w:rsidR="001A484F" w:rsidP="001A484F" w:rsidRDefault="001A484F">
      <w:pPr>
        <w:pStyle w:val="ListParagraph"/>
        <w:numPr>
          <w:ilvl w:val="0"/>
          <w:numId w:val="0"/>
        </w:numPr>
        <w:rPr>
          <w:i/>
          <w:iCs/>
        </w:rPr>
      </w:pPr>
    </w:p>
    <w:p w:rsidRPr="00290C24" w:rsidR="001A484F" w:rsidP="001A484F" w:rsidRDefault="001A484F">
      <w:pPr>
        <w:pStyle w:val="ListParagraph"/>
        <w:numPr>
          <w:ilvl w:val="0"/>
          <w:numId w:val="0"/>
        </w:numPr>
        <w:rPr>
          <w:i/>
          <w:iCs/>
        </w:rPr>
      </w:pPr>
      <w:r w:rsidRPr="00290C24">
        <w:t xml:space="preserve">The pass mark for the pharmacology exam in PRES </w:t>
      </w:r>
      <w:r w:rsidR="00AB3917">
        <w:t>5</w:t>
      </w:r>
      <w:r w:rsidRPr="00290C24">
        <w:t>006 Pharmacology for Prescribers is 80%</w:t>
      </w:r>
      <w:r>
        <w:t>.</w:t>
      </w:r>
    </w:p>
    <w:p w:rsidR="001A484F" w:rsidP="001A484F" w:rsidRDefault="001A484F">
      <w:pPr>
        <w:pStyle w:val="ListParagraph"/>
        <w:numPr>
          <w:ilvl w:val="0"/>
          <w:numId w:val="0"/>
        </w:numPr>
        <w:rPr>
          <w:i/>
          <w:iCs/>
        </w:rPr>
      </w:pPr>
      <w:r w:rsidRPr="00290C24">
        <w:t xml:space="preserve">The pass mark for the numeracy exam in PRES </w:t>
      </w:r>
      <w:r w:rsidR="00AB3917">
        <w:t>5</w:t>
      </w:r>
      <w:r w:rsidRPr="00290C24">
        <w:t>006 Pharmacology for Prescribers is 100%</w:t>
      </w:r>
      <w:r>
        <w:t>.</w:t>
      </w:r>
    </w:p>
    <w:p w:rsidRPr="00290C24" w:rsidR="001A484F" w:rsidP="001A484F" w:rsidRDefault="001A484F">
      <w:pPr>
        <w:pStyle w:val="ListParagraph"/>
        <w:numPr>
          <w:ilvl w:val="0"/>
          <w:numId w:val="0"/>
        </w:numPr>
        <w:rPr>
          <w:i/>
          <w:iCs/>
        </w:rPr>
      </w:pPr>
    </w:p>
    <w:p w:rsidR="001A484F" w:rsidP="001A484F" w:rsidRDefault="001A484F">
      <w:pPr>
        <w:pStyle w:val="ListParagraph"/>
        <w:numPr>
          <w:ilvl w:val="0"/>
          <w:numId w:val="0"/>
        </w:numPr>
        <w:rPr>
          <w:rFonts w:ascii="Arial" w:hAnsi="Arial"/>
          <w:i/>
          <w:iCs/>
        </w:rPr>
      </w:pPr>
      <w:r w:rsidRPr="00290C24">
        <w:t>PRES</w:t>
      </w:r>
      <w:r w:rsidR="00AB3917">
        <w:t>5</w:t>
      </w:r>
      <w:r w:rsidRPr="00290C24">
        <w:t>005 and PRES</w:t>
      </w:r>
      <w:r w:rsidR="00AB3917">
        <w:t>5</w:t>
      </w:r>
      <w:r w:rsidRPr="00290C24">
        <w:t>006 must be taken together and must both be passed.</w:t>
      </w:r>
    </w:p>
    <w:p w:rsidR="001A484F" w:rsidP="001A484F" w:rsidRDefault="001A484F"/>
    <w:p w:rsidR="001A484F" w:rsidP="001A484F" w:rsidRDefault="001A484F"/>
    <w:p w:rsidR="001A484F" w:rsidP="001A484F" w:rsidRDefault="001A484F">
      <w:pPr>
        <w:pStyle w:val="Heading4"/>
      </w:pPr>
      <w:r>
        <w:t>Maximum periods of registration</w:t>
      </w:r>
      <w:r>
        <w:tab/>
      </w:r>
    </w:p>
    <w:p w:rsidR="001A484F" w:rsidP="001A484F" w:rsidRDefault="001A484F">
      <w:r>
        <w:t>The maximum periods of registration will normally be two years on the BSc/</w:t>
      </w:r>
      <w:proofErr w:type="spellStart"/>
      <w:r>
        <w:t>GradCert</w:t>
      </w:r>
      <w:proofErr w:type="spellEnd"/>
      <w:r>
        <w:t xml:space="preserve"> and three years on the BSc (Hons)/</w:t>
      </w:r>
      <w:proofErr w:type="spellStart"/>
      <w:r>
        <w:t>GradDip</w:t>
      </w:r>
      <w:proofErr w:type="spellEnd"/>
      <w:r>
        <w:t>.</w:t>
      </w:r>
    </w:p>
    <w:p w:rsidR="001A484F" w:rsidP="001A484F" w:rsidRDefault="001A484F"/>
    <w:p w:rsidR="001A484F" w:rsidP="001A484F" w:rsidRDefault="001A484F">
      <w:pPr>
        <w:pStyle w:val="Heading4"/>
      </w:pPr>
      <w:r>
        <w:t>Recognition of Prior Learning (RPL)</w:t>
      </w:r>
      <w:r>
        <w:tab/>
      </w:r>
    </w:p>
    <w:p w:rsidR="001A484F" w:rsidP="001A484F" w:rsidRDefault="001A484F">
      <w:r>
        <w:t>For non-honours students 15 credits of RPL are available at level 6. For honours students 45 credits of RPL are available at level 6.</w:t>
      </w:r>
    </w:p>
    <w:p w:rsidR="001A484F" w:rsidP="001A484F" w:rsidRDefault="001A484F"/>
    <w:p w:rsidR="001A484F" w:rsidP="001A484F" w:rsidRDefault="001A484F">
      <w:pPr>
        <w:pStyle w:val="Heading4"/>
      </w:pPr>
      <w:r>
        <w:t xml:space="preserve">Classification of awards </w:t>
      </w:r>
      <w:r>
        <w:tab/>
      </w:r>
    </w:p>
    <w:p w:rsidR="001A484F" w:rsidP="001A484F" w:rsidRDefault="001A484F">
      <w:r>
        <w:t>This is a level 6 programme and is therefore classified on the best 105 level 6 credits.</w:t>
      </w:r>
    </w:p>
    <w:p w:rsidR="001A484F" w:rsidP="001A484F" w:rsidRDefault="001A484F"/>
    <w:p w:rsidR="001A484F" w:rsidP="001A484F" w:rsidRDefault="001A484F">
      <w:r>
        <w:t>Where a student has studied and passed more than 120 credits, degree classification will be based on an average of the total number of credits, excluding the 30 credits with the lowest mark(s). Where a student has studied and passed less than 120 level 6 credits (due to RPL) classification will be based upon the average of the marks for all modules studied.</w:t>
      </w:r>
    </w:p>
    <w:p w:rsidR="001A484F" w:rsidP="00794FCC" w:rsidRDefault="001A484F"/>
    <w:p w:rsidRPr="00E87385" w:rsidR="009A767D" w:rsidP="00794FCC" w:rsidRDefault="009A767D">
      <w:pPr>
        <w:pStyle w:val="Heading3"/>
      </w:pPr>
      <w:bookmarkStart w:name="_Toc507515671" w:id="32"/>
      <w:r w:rsidRPr="00E87385">
        <w:t>Psychology</w:t>
      </w:r>
      <w:r w:rsidRPr="00E87385" w:rsidR="00906BA2">
        <w:t xml:space="preserve"> </w:t>
      </w:r>
      <w:proofErr w:type="spellStart"/>
      <w:r w:rsidRPr="00E87385" w:rsidR="00906BA2">
        <w:t>MRes</w:t>
      </w:r>
      <w:proofErr w:type="spellEnd"/>
      <w:r w:rsidRPr="00E87385" w:rsidR="00906BA2">
        <w:t xml:space="preserve">, </w:t>
      </w:r>
      <w:r w:rsidRPr="00E87385">
        <w:t>C80075</w:t>
      </w:r>
      <w:bookmarkEnd w:id="32"/>
    </w:p>
    <w:p w:rsidR="00B236DA" w:rsidP="00B236DA" w:rsidRDefault="00B236DA">
      <w:pPr>
        <w:pStyle w:val="Heading3"/>
      </w:pPr>
      <w:bookmarkStart w:name="_Toc507515672" w:id="33"/>
      <w:r>
        <w:t xml:space="preserve">Social Work </w:t>
      </w:r>
      <w:proofErr w:type="spellStart"/>
      <w:r>
        <w:t>MRes</w:t>
      </w:r>
      <w:proofErr w:type="spellEnd"/>
      <w:r>
        <w:t>, L50075</w:t>
      </w:r>
      <w:bookmarkEnd w:id="33"/>
    </w:p>
    <w:p w:rsidR="009A767D" w:rsidP="00906BA2" w:rsidRDefault="009A767D">
      <w:pPr>
        <w:pStyle w:val="headingunderline"/>
      </w:pPr>
    </w:p>
    <w:p w:rsidRPr="00F41110" w:rsidR="00B236DA" w:rsidP="00B236DA" w:rsidRDefault="00D10E66">
      <w:pPr>
        <w:pStyle w:val="Heading3"/>
        <w:rPr>
          <w:b w:val="0"/>
        </w:rPr>
      </w:pPr>
      <w:hyperlink w:history="1" w:anchor="_Applied_Health_Studies">
        <w:bookmarkStart w:name="_Toc507515673" w:id="34"/>
        <w:r w:rsidRPr="00F41110" w:rsidR="00B236DA">
          <w:rPr>
            <w:rStyle w:val="Hyperlink"/>
            <w:b w:val="0"/>
            <w:iCs/>
            <w:sz w:val="22"/>
          </w:rPr>
          <w:t xml:space="preserve">See </w:t>
        </w:r>
        <w:proofErr w:type="spellStart"/>
        <w:r w:rsidR="00B236DA">
          <w:rPr>
            <w:rStyle w:val="Hyperlink"/>
            <w:b w:val="0"/>
            <w:iCs/>
            <w:sz w:val="22"/>
          </w:rPr>
          <w:t>MRes</w:t>
        </w:r>
        <w:proofErr w:type="spellEnd"/>
        <w:r w:rsidR="00B236DA">
          <w:rPr>
            <w:rStyle w:val="Hyperlink"/>
            <w:b w:val="0"/>
            <w:iCs/>
            <w:sz w:val="22"/>
          </w:rPr>
          <w:t xml:space="preserve"> </w:t>
        </w:r>
        <w:r w:rsidRPr="00F41110" w:rsidR="00B236DA">
          <w:rPr>
            <w:rStyle w:val="Hyperlink"/>
            <w:b w:val="0"/>
            <w:iCs/>
            <w:sz w:val="22"/>
          </w:rPr>
          <w:t>programme</w:t>
        </w:r>
        <w:r w:rsidR="00EF1827">
          <w:rPr>
            <w:rStyle w:val="Hyperlink"/>
            <w:b w:val="0"/>
            <w:iCs/>
            <w:sz w:val="22"/>
          </w:rPr>
          <w:t xml:space="preserve">s (page </w:t>
        </w:r>
        <w:r w:rsidR="001C42AD">
          <w:rPr>
            <w:rStyle w:val="Hyperlink"/>
            <w:b w:val="0"/>
            <w:iCs/>
            <w:sz w:val="22"/>
          </w:rPr>
          <w:t>19</w:t>
        </w:r>
        <w:r w:rsidR="00EF1827">
          <w:rPr>
            <w:rStyle w:val="Hyperlink"/>
            <w:b w:val="0"/>
            <w:iCs/>
            <w:sz w:val="22"/>
          </w:rPr>
          <w:t>)</w:t>
        </w:r>
        <w:bookmarkEnd w:id="34"/>
      </w:hyperlink>
    </w:p>
    <w:p w:rsidR="00CB1625" w:rsidP="009A767D" w:rsidRDefault="00CB1625"/>
    <w:p w:rsidR="009D300F" w:rsidP="009A767D" w:rsidRDefault="009D300F"/>
    <w:p w:rsidR="009A767D" w:rsidP="0080183C" w:rsidRDefault="009A767D">
      <w:pPr>
        <w:pStyle w:val="Heading3"/>
      </w:pPr>
      <w:bookmarkStart w:name="_Toc507515674" w:id="35"/>
      <w:r>
        <w:t>Social Work Practice Education</w:t>
      </w:r>
      <w:r w:rsidR="00CB1625">
        <w:t xml:space="preserve"> PgCert, </w:t>
      </w:r>
      <w:r>
        <w:t>L50078</w:t>
      </w:r>
      <w:bookmarkEnd w:id="35"/>
    </w:p>
    <w:p w:rsidRPr="00032F9C" w:rsidR="00032F9C" w:rsidP="00032F9C" w:rsidRDefault="00032F9C">
      <w:pPr>
        <w:pStyle w:val="NoSpacing"/>
      </w:pPr>
      <w:r w:rsidRPr="00D83599">
        <w:t>The College of Social Work</w:t>
      </w:r>
    </w:p>
    <w:p w:rsidR="009A767D" w:rsidP="00CB1625" w:rsidRDefault="009A767D">
      <w:pPr>
        <w:pStyle w:val="headingunderline"/>
      </w:pPr>
    </w:p>
    <w:p w:rsidR="009A767D" w:rsidP="0080183C" w:rsidRDefault="0023460E">
      <w:pPr>
        <w:pStyle w:val="Heading4"/>
      </w:pPr>
      <w:r>
        <w:t>Awards of the university</w:t>
      </w:r>
    </w:p>
    <w:p w:rsidR="009A767D" w:rsidP="0023460E" w:rsidRDefault="00144AB8">
      <w:r>
        <w:t>SCWK5101</w:t>
      </w:r>
      <w:r w:rsidR="009A767D">
        <w:t xml:space="preserve"> – </w:t>
      </w:r>
      <w:r w:rsidR="0023460E">
        <w:t xml:space="preserve">practice educator stage one: students </w:t>
      </w:r>
      <w:r w:rsidR="009A767D">
        <w:t xml:space="preserve">must pass the </w:t>
      </w:r>
      <w:r w:rsidR="0023460E">
        <w:t>practice mentor assessor report</w:t>
      </w:r>
      <w:r w:rsidR="009A767D">
        <w:t xml:space="preserve"> before they are eligible to start </w:t>
      </w:r>
      <w:r>
        <w:t>SCWK5102</w:t>
      </w:r>
      <w:r w:rsidR="009A767D">
        <w:t xml:space="preserve"> – </w:t>
      </w:r>
      <w:r w:rsidR="0023460E">
        <w:t>practice educator stage two</w:t>
      </w:r>
      <w:r w:rsidR="009A767D">
        <w:t>.</w:t>
      </w:r>
    </w:p>
    <w:p w:rsidR="009A767D" w:rsidP="009A767D" w:rsidRDefault="009A767D">
      <w:r w:rsidRPr="00032F9C">
        <w:t xml:space="preserve">This is to ensure that students have demonstrated The College of Social Work requirements for </w:t>
      </w:r>
      <w:r w:rsidRPr="00032F9C" w:rsidR="0023460E">
        <w:t>stage one practice educator</w:t>
      </w:r>
      <w:r w:rsidRPr="00032F9C">
        <w:t xml:space="preserve"> </w:t>
      </w:r>
      <w:r w:rsidRPr="00032F9C" w:rsidR="0023460E">
        <w:t>professional standards before progressing to stage two</w:t>
      </w:r>
      <w:r w:rsidRPr="00032F9C">
        <w:t>.</w:t>
      </w:r>
    </w:p>
    <w:p w:rsidR="009A767D" w:rsidP="009A767D" w:rsidRDefault="009A767D"/>
    <w:p w:rsidR="009D300F" w:rsidP="009A767D" w:rsidRDefault="009D300F"/>
    <w:p w:rsidR="009A767D" w:rsidP="0080183C" w:rsidRDefault="009A767D">
      <w:pPr>
        <w:pStyle w:val="Heading3"/>
      </w:pPr>
      <w:bookmarkStart w:name="_Toc507515677" w:id="36"/>
      <w:r>
        <w:t>Youth/Health and Community Development Studies</w:t>
      </w:r>
      <w:r w:rsidRPr="00902853" w:rsidR="00902853">
        <w:t xml:space="preserve"> </w:t>
      </w:r>
      <w:r w:rsidR="00902853">
        <w:t>MA/</w:t>
      </w:r>
      <w:proofErr w:type="spellStart"/>
      <w:r w:rsidR="00902853">
        <w:t>PgDip</w:t>
      </w:r>
      <w:proofErr w:type="spellEnd"/>
      <w:r w:rsidR="00902853">
        <w:t xml:space="preserve">, </w:t>
      </w:r>
      <w:r>
        <w:t>L53072</w:t>
      </w:r>
      <w:r w:rsidR="00902853">
        <w:t xml:space="preserve"> (CPD PT)/</w:t>
      </w:r>
      <w:r w:rsidR="00902853">
        <w:br/>
        <w:t>L53074 (CPD FT)</w:t>
      </w:r>
      <w:bookmarkEnd w:id="36"/>
    </w:p>
    <w:p w:rsidR="009A767D" w:rsidP="00902853" w:rsidRDefault="009A767D">
      <w:pPr>
        <w:pStyle w:val="headingunderline"/>
      </w:pPr>
    </w:p>
    <w:p w:rsidR="009A767D" w:rsidP="0023460E" w:rsidRDefault="00F5462E">
      <w:pPr>
        <w:pStyle w:val="Heading4"/>
      </w:pPr>
      <w:r>
        <w:t>Eligibility to start postgraduate dissertation, major project and design work</w:t>
      </w:r>
    </w:p>
    <w:p w:rsidR="009A767D" w:rsidP="009A767D" w:rsidRDefault="009A767D">
      <w:r>
        <w:t>In order to become eligible to start the dissertation, students must normally have passed 60 of the 120 taught credits at the first attempt.</w:t>
      </w:r>
    </w:p>
    <w:p w:rsidR="00DA4871" w:rsidP="009A767D" w:rsidRDefault="00DA4871"/>
    <w:p w:rsidR="009A767D" w:rsidP="009A767D" w:rsidRDefault="009A767D">
      <w:r>
        <w:t xml:space="preserve">Health and </w:t>
      </w:r>
      <w:r w:rsidR="0023460E">
        <w:t>social research methods</w:t>
      </w:r>
      <w:r>
        <w:t xml:space="preserve"> (ASCS5201) must normally be passed before the dissertation can be commenced.</w:t>
      </w:r>
    </w:p>
    <w:p w:rsidR="009A767D" w:rsidP="009A767D" w:rsidRDefault="009A767D"/>
    <w:p w:rsidR="009D300F" w:rsidP="009A767D" w:rsidRDefault="009D300F"/>
    <w:p w:rsidRPr="00987A9D" w:rsidR="009A767D" w:rsidP="0080183C" w:rsidRDefault="009A767D">
      <w:pPr>
        <w:pStyle w:val="Heading3"/>
        <w:rPr>
          <w:color w:val="FF0000"/>
        </w:rPr>
      </w:pPr>
      <w:bookmarkStart w:name="_Toc507515678" w:id="37"/>
      <w:r w:rsidRPr="00D83599">
        <w:t>Youth Work/Health an</w:t>
      </w:r>
      <w:r w:rsidRPr="00D83599" w:rsidR="00902853">
        <w:t>d Community Development MA/</w:t>
      </w:r>
      <w:proofErr w:type="spellStart"/>
      <w:r w:rsidRPr="00D83599" w:rsidR="00902853">
        <w:t>PgDip</w:t>
      </w:r>
      <w:proofErr w:type="spellEnd"/>
      <w:r w:rsidRPr="00D83599" w:rsidR="00902853">
        <w:t xml:space="preserve">, </w:t>
      </w:r>
      <w:r w:rsidRPr="00D83599">
        <w:t>L53075</w:t>
      </w:r>
      <w:r w:rsidRPr="00D83599" w:rsidR="00F4182A">
        <w:t xml:space="preserve"> (PQ PT)/</w:t>
      </w:r>
      <w:r w:rsidRPr="00D83599" w:rsidR="00F4182A">
        <w:br/>
        <w:t>PROGRAMME CODE (PQ FT)</w:t>
      </w:r>
      <w:bookmarkEnd w:id="37"/>
      <w:r w:rsidRPr="00D83599" w:rsidR="00987A9D">
        <w:t xml:space="preserve"> L53076</w:t>
      </w:r>
    </w:p>
    <w:p w:rsidR="009A767D" w:rsidP="00F4182A" w:rsidRDefault="00F5462E">
      <w:pPr>
        <w:pStyle w:val="NoSpacing"/>
      </w:pPr>
      <w:r w:rsidRPr="00D83599">
        <w:t xml:space="preserve">Standards Board for England </w:t>
      </w:r>
      <w:r w:rsidRPr="00D83599" w:rsidR="00AC70AB">
        <w:t xml:space="preserve">and </w:t>
      </w:r>
      <w:r w:rsidRPr="00D83599" w:rsidR="009A767D">
        <w:t>National Youth Agency</w:t>
      </w:r>
      <w:r w:rsidRPr="00D83599">
        <w:t xml:space="preserve"> (NYA)</w:t>
      </w:r>
    </w:p>
    <w:p w:rsidR="009A767D" w:rsidP="00F4182A" w:rsidRDefault="009A767D">
      <w:pPr>
        <w:pStyle w:val="headingunderline"/>
      </w:pPr>
    </w:p>
    <w:p w:rsidR="009A767D" w:rsidP="0023460E" w:rsidRDefault="00F5462E">
      <w:pPr>
        <w:pStyle w:val="Heading4"/>
      </w:pPr>
      <w:r>
        <w:t>Eligibility to start postgraduate dissertation, major project and design work</w:t>
      </w:r>
    </w:p>
    <w:p w:rsidR="009A767D" w:rsidP="009A767D" w:rsidRDefault="009A767D">
      <w:r>
        <w:t>In order to become eligible to start the dissertation, students must normally have passed 60 of the 120 taught credits at the first attempt.</w:t>
      </w:r>
    </w:p>
    <w:p w:rsidR="009A767D" w:rsidP="009A767D" w:rsidRDefault="009A767D"/>
    <w:p w:rsidR="00F4182A" w:rsidP="00F4182A" w:rsidRDefault="00F4182A">
      <w:r>
        <w:t xml:space="preserve">Health and </w:t>
      </w:r>
      <w:r w:rsidR="0023460E">
        <w:t>social research methods</w:t>
      </w:r>
      <w:r>
        <w:t xml:space="preserve"> (ASCS5201) must normally be passed before the dissertation can be commenced. </w:t>
      </w:r>
    </w:p>
    <w:p w:rsidR="00B0288A" w:rsidP="00F4182A" w:rsidRDefault="00B0288A"/>
    <w:p w:rsidR="00B0288A" w:rsidP="00B0288A" w:rsidRDefault="00B0288A">
      <w:pPr>
        <w:pStyle w:val="Heading4"/>
      </w:pPr>
      <w:r>
        <w:t>Attendance</w:t>
      </w:r>
      <w:r>
        <w:tab/>
      </w:r>
    </w:p>
    <w:p w:rsidR="00B0288A" w:rsidP="00B0288A" w:rsidRDefault="00B0288A">
      <w:pPr>
        <w:ind w:left="567" w:hanging="567"/>
      </w:pPr>
      <w:r w:rsidRPr="00B0288A">
        <w:rPr>
          <w:rFonts w:eastAsia="Times New Roman" w:cs="Arial"/>
          <w:color w:val="000000"/>
        </w:rPr>
        <w:t>A minimum requirement of 80% engagement with the online activity / discussion board. I</w:t>
      </w:r>
      <w:r w:rsidRPr="00B0288A">
        <w:t>f a</w:t>
      </w:r>
    </w:p>
    <w:p w:rsidR="00B0288A" w:rsidP="00B0288A" w:rsidRDefault="00B0288A">
      <w:pPr>
        <w:ind w:left="567" w:hanging="567"/>
      </w:pPr>
      <w:r w:rsidRPr="00B0288A">
        <w:t xml:space="preserve">student falls below these requirements they must demonstrate that they have completed </w:t>
      </w:r>
    </w:p>
    <w:p w:rsidRPr="00B0288A" w:rsidR="00B0288A" w:rsidP="00B0288A" w:rsidRDefault="00B0288A">
      <w:pPr>
        <w:ind w:left="567" w:hanging="567"/>
        <w:rPr>
          <w:rFonts w:eastAsia="Times New Roman"/>
          <w:color w:val="000000"/>
        </w:rPr>
      </w:pPr>
      <w:r w:rsidRPr="00B0288A">
        <w:t>any missed work.</w:t>
      </w:r>
    </w:p>
    <w:p w:rsidR="00B0288A" w:rsidP="00F4182A" w:rsidRDefault="00B0288A"/>
    <w:p w:rsidR="00F4182A" w:rsidP="00F4182A" w:rsidRDefault="00F4182A"/>
    <w:p w:rsidR="00F5462E" w:rsidP="00F5462E" w:rsidRDefault="00F5462E">
      <w:pPr>
        <w:pStyle w:val="Heading4"/>
      </w:pPr>
      <w:bookmarkStart w:name="_Hlk45725680" w:id="38"/>
      <w:r>
        <w:t>Awards of the university</w:t>
      </w:r>
    </w:p>
    <w:p w:rsidRPr="00CD5489" w:rsidR="00CD5489" w:rsidP="00CD5489" w:rsidRDefault="00F5462E">
      <w:pPr>
        <w:pStyle w:val="xmsonormal"/>
        <w:rPr>
          <w:rFonts w:asciiTheme="minorHAnsi" w:hAnsiTheme="minorHAnsi"/>
        </w:rPr>
      </w:pPr>
      <w:r w:rsidRPr="00CD5489">
        <w:rPr>
          <w:rFonts w:asciiTheme="minorHAnsi" w:hAnsiTheme="minorHAnsi"/>
        </w:rPr>
        <w:t>The award of the MA/</w:t>
      </w:r>
      <w:proofErr w:type="spellStart"/>
      <w:r w:rsidRPr="00CD5489">
        <w:rPr>
          <w:rFonts w:asciiTheme="minorHAnsi" w:hAnsiTheme="minorHAnsi"/>
        </w:rPr>
        <w:t>PgDip</w:t>
      </w:r>
      <w:proofErr w:type="spellEnd"/>
      <w:r w:rsidRPr="00CD5489">
        <w:rPr>
          <w:rFonts w:asciiTheme="minorHAnsi" w:hAnsiTheme="minorHAnsi"/>
        </w:rPr>
        <w:t xml:space="preserve"> with Joint Negotiating Committee (JNC) professional qualification is dependent on all practice hours being successfully completed.</w:t>
      </w:r>
      <w:r w:rsidR="00CD5489">
        <w:rPr>
          <w:rFonts w:asciiTheme="minorHAnsi" w:hAnsiTheme="minorHAnsi"/>
        </w:rPr>
        <w:t xml:space="preserve"> The award of MA/</w:t>
      </w:r>
      <w:r w:rsidRPr="00CD5489" w:rsidR="00CD5489">
        <w:rPr>
          <w:rFonts w:asciiTheme="minorHAnsi" w:hAnsiTheme="minorHAnsi"/>
        </w:rPr>
        <w:t xml:space="preserve"> </w:t>
      </w:r>
      <w:proofErr w:type="spellStart"/>
      <w:r w:rsidRPr="00CD5489" w:rsidR="00CD5489">
        <w:rPr>
          <w:rFonts w:asciiTheme="minorHAnsi" w:hAnsiTheme="minorHAnsi"/>
        </w:rPr>
        <w:t>PgDip</w:t>
      </w:r>
      <w:proofErr w:type="spellEnd"/>
      <w:r w:rsidR="00CD5489">
        <w:rPr>
          <w:rFonts w:asciiTheme="minorHAnsi" w:hAnsiTheme="minorHAnsi"/>
        </w:rPr>
        <w:t xml:space="preserve"> with JNC / EQSB Professional Qualification is dependent on students successfully completing the Professional Field Practice module (ASCS5218) and all practice hours, together with all core and the one chosen option module.</w:t>
      </w:r>
    </w:p>
    <w:p w:rsidR="00F5462E" w:rsidP="00F5462E" w:rsidRDefault="00F5462E"/>
    <w:bookmarkEnd w:id="38"/>
    <w:p w:rsidR="00F5462E" w:rsidP="00F5462E" w:rsidRDefault="00F5462E"/>
    <w:p w:rsidR="00FE1F71" w:rsidP="0080183C" w:rsidRDefault="00F5462E">
      <w:pPr>
        <w:pStyle w:val="NoSpacing"/>
      </w:pPr>
      <w:r>
        <w:t>The following additional regulations also apply to</w:t>
      </w:r>
      <w:r w:rsidR="00FE1F71">
        <w:t>:</w:t>
      </w:r>
    </w:p>
    <w:p w:rsidRPr="00F5462E" w:rsidR="00F4182A" w:rsidP="0080183C" w:rsidRDefault="00F4182A">
      <w:pPr>
        <w:pStyle w:val="NoSpacing"/>
        <w:rPr>
          <w:b/>
        </w:rPr>
      </w:pPr>
      <w:r w:rsidRPr="00F5462E">
        <w:rPr>
          <w:b/>
        </w:rPr>
        <w:t>Youth Work/Health and Community Development MA/</w:t>
      </w:r>
      <w:proofErr w:type="spellStart"/>
      <w:r w:rsidRPr="00F5462E">
        <w:rPr>
          <w:b/>
        </w:rPr>
        <w:t>PgDip</w:t>
      </w:r>
      <w:proofErr w:type="spellEnd"/>
      <w:r w:rsidRPr="00F5462E">
        <w:rPr>
          <w:b/>
        </w:rPr>
        <w:t xml:space="preserve">, </w:t>
      </w:r>
      <w:r w:rsidRPr="00F5462E" w:rsidR="00103E88">
        <w:rPr>
          <w:b/>
        </w:rPr>
        <w:t>L53075 (PQ PT) ONLY</w:t>
      </w:r>
    </w:p>
    <w:p w:rsidR="00F06087" w:rsidP="00F06087" w:rsidRDefault="00F06087">
      <w:pPr>
        <w:pStyle w:val="Heading4"/>
      </w:pPr>
      <w:r>
        <w:t>Eligibility to start postgraduate dissertation, major project and design work</w:t>
      </w:r>
    </w:p>
    <w:p w:rsidRPr="00AF13D4" w:rsidR="00AF13D4" w:rsidP="00AF13D4" w:rsidRDefault="00F4182A">
      <w:r>
        <w:t>Professional</w:t>
      </w:r>
      <w:r w:rsidR="0023460E">
        <w:t xml:space="preserve"> field practice </w:t>
      </w:r>
      <w:r w:rsidR="009A767D">
        <w:t>(ASCS5218) must normally be passed before th</w:t>
      </w:r>
      <w:r w:rsidR="00CA144A">
        <w:t>e dissertation can be commenced.</w:t>
      </w:r>
    </w:p>
    <w:sectPr w:rsidRPr="00AF13D4" w:rsidR="00AF13D4" w:rsidSect="000F6C03">
      <w:headerReference w:type="default" r:id="rId8"/>
      <w:footerReference w:type="default" r:id="rId9"/>
      <w:pgSz w:w="11906" w:h="16838"/>
      <w:pgMar w:top="992" w:right="851" w:bottom="1560" w:left="1134" w:header="709" w:footer="53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1FD0" w:rsidRDefault="00DD1FD0" w:rsidP="00B87609">
      <w:r>
        <w:separator/>
      </w:r>
    </w:p>
  </w:endnote>
  <w:endnote w:type="continuationSeparator" w:id="0">
    <w:p w:rsidR="00DD1FD0" w:rsidRDefault="00DD1FD0" w:rsidP="00B87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kzidenz-Grotesk Pro Bold Ext">
    <w:panose1 w:val="02000805060000020004"/>
    <w:charset w:val="00"/>
    <w:family w:val="modern"/>
    <w:notTrueType/>
    <w:pitch w:val="variable"/>
    <w:sig w:usb0="A00000AF" w:usb1="5000205B" w:usb2="00000000" w:usb3="00000000" w:csb0="0000009B"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4912558"/>
      <w:docPartObj>
        <w:docPartGallery w:val="Page Numbers (Bottom of Page)"/>
        <w:docPartUnique/>
      </w:docPartObj>
    </w:sdtPr>
    <w:sdtEndPr>
      <w:rPr>
        <w:color w:val="7F7F7F" w:themeColor="background1" w:themeShade="7F"/>
        <w:spacing w:val="60"/>
      </w:rPr>
    </w:sdtEndPr>
    <w:sdtContent>
      <w:p w:rsidR="009E28CC" w:rsidRDefault="009E28CC" w:rsidP="00814B4B">
        <w:pPr>
          <w:pStyle w:val="Footer"/>
          <w:pBdr>
            <w:top w:val="single" w:sz="4" w:space="1" w:color="D9D9D9" w:themeColor="background1" w:themeShade="D9"/>
          </w:pBdr>
          <w:jc w:val="right"/>
          <w:rPr>
            <w:b/>
            <w:bCs/>
          </w:rPr>
        </w:pPr>
        <w:r>
          <w:fldChar w:fldCharType="begin"/>
        </w:r>
        <w:r>
          <w:instrText xml:space="preserve"> PAGE   \* MERGEFORMAT </w:instrText>
        </w:r>
        <w:r>
          <w:fldChar w:fldCharType="separate"/>
        </w:r>
        <w:r w:rsidRPr="00170B83">
          <w:rPr>
            <w:b/>
            <w:bCs/>
            <w:noProof/>
          </w:rPr>
          <w:t>3</w:t>
        </w:r>
        <w:r>
          <w:rPr>
            <w:b/>
            <w:bCs/>
            <w:noProof/>
          </w:rPr>
          <w:fldChar w:fldCharType="end"/>
        </w:r>
        <w:r>
          <w:rPr>
            <w:b/>
            <w:bCs/>
          </w:rPr>
          <w:t xml:space="preserve"> | </w:t>
        </w:r>
        <w:r>
          <w:rPr>
            <w:color w:val="7F7F7F" w:themeColor="background1" w:themeShade="7F"/>
            <w:spacing w:val="60"/>
          </w:rPr>
          <w:t>Page</w:t>
        </w:r>
      </w:p>
    </w:sdtContent>
  </w:sdt>
  <w:p w:rsidR="009E28CC" w:rsidRPr="00F30C70" w:rsidRDefault="009E28CC" w:rsidP="00284365">
    <w:pPr>
      <w:pStyle w:val="Footer"/>
      <w:tabs>
        <w:tab w:val="clear" w:pos="4513"/>
        <w:tab w:val="clear" w:pos="9026"/>
        <w:tab w:val="right" w:pos="9921"/>
      </w:tabs>
      <w:ind w:left="-42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1FD0" w:rsidRDefault="00DD1FD0" w:rsidP="00B87609">
      <w:r>
        <w:separator/>
      </w:r>
    </w:p>
  </w:footnote>
  <w:footnote w:type="continuationSeparator" w:id="0">
    <w:p w:rsidR="00DD1FD0" w:rsidRDefault="00DD1FD0" w:rsidP="00B876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28CC" w:rsidRDefault="009E28CC" w:rsidP="00814B4B">
    <w:pPr>
      <w:pStyle w:val="Heading1"/>
    </w:pPr>
    <w:bookmarkStart w:id="39" w:name="_Toc507515636"/>
    <w:r>
      <w:t>Faculty of Health and Life Sciences</w:t>
    </w:r>
    <w:bookmarkEnd w:id="39"/>
    <w:r>
      <w:t xml:space="preserve"> 2020/21</w:t>
    </w:r>
  </w:p>
  <w:p w:rsidR="009E28CC" w:rsidRDefault="009E28CC">
    <w:pPr>
      <w:pStyle w:val="Header"/>
      <w:rPr>
        <w:b/>
        <w:color w:val="DD8047" w:themeColor="accent2"/>
      </w:rPr>
    </w:pPr>
    <w:r w:rsidRPr="00814B4B">
      <w:rPr>
        <w:b/>
        <w:color w:val="DD8047" w:themeColor="accent2"/>
      </w:rPr>
      <w:t>Programme Specific Regulations</w:t>
    </w:r>
  </w:p>
  <w:p w:rsidR="009E28CC" w:rsidRPr="00814B4B" w:rsidRDefault="009E28CC">
    <w:pPr>
      <w:pStyle w:val="Header"/>
      <w:rPr>
        <w:b/>
        <w:color w:val="DD8047" w:themeColor="accent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42C37"/>
    <w:multiLevelType w:val="hybridMultilevel"/>
    <w:tmpl w:val="D2024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505A86"/>
    <w:multiLevelType w:val="hybridMultilevel"/>
    <w:tmpl w:val="06A07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6E5B52"/>
    <w:multiLevelType w:val="hybridMultilevel"/>
    <w:tmpl w:val="0414C1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661BBF"/>
    <w:multiLevelType w:val="hybridMultilevel"/>
    <w:tmpl w:val="25C44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BE577D"/>
    <w:multiLevelType w:val="hybridMultilevel"/>
    <w:tmpl w:val="5B5417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3AD5E24"/>
    <w:multiLevelType w:val="hybridMultilevel"/>
    <w:tmpl w:val="D6FE6D76"/>
    <w:lvl w:ilvl="0" w:tplc="DC227E1A">
      <w:start w:val="1"/>
      <w:numFmt w:val="decimal"/>
      <w:pStyle w:val="ListParagraph"/>
      <w:lvlText w:val="%1."/>
      <w:lvlJc w:val="left"/>
      <w:pPr>
        <w:ind w:left="927" w:hanging="360"/>
      </w:pPr>
      <w:rPr>
        <w:b w:val="0"/>
        <w:bCs w:val="0"/>
        <w:i w:val="0"/>
        <w:iCs w:val="0"/>
        <w:caps w:val="0"/>
        <w:smallCaps w:val="0"/>
        <w:strike w:val="0"/>
        <w:dstrike w:val="0"/>
        <w:noProof w:val="0"/>
        <w:vanish w:val="0"/>
        <w:color w:val="000000" w:themeColor="tex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BC1D35"/>
    <w:multiLevelType w:val="hybridMultilevel"/>
    <w:tmpl w:val="76726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976154"/>
    <w:multiLevelType w:val="hybridMultilevel"/>
    <w:tmpl w:val="563E00C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43E61D0"/>
    <w:multiLevelType w:val="hybridMultilevel"/>
    <w:tmpl w:val="4724C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2"/>
  </w:num>
  <w:num w:numId="4">
    <w:abstractNumId w:val="3"/>
  </w:num>
  <w:num w:numId="5">
    <w:abstractNumId w:val="0"/>
  </w:num>
  <w:num w:numId="6">
    <w:abstractNumId w:val="6"/>
  </w:num>
  <w:num w:numId="7">
    <w:abstractNumId w:val="4"/>
  </w:num>
  <w:num w:numId="8">
    <w:abstractNumId w:val="7"/>
  </w:num>
  <w:num w:numId="9">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EF151438-EA9D-4703-B43B-F7A3C02BCCD8}"/>
    <w:docVar w:name="dgnword-eventsink" w:val="485736032"/>
  </w:docVars>
  <w:rsids>
    <w:rsidRoot w:val="00ED33BF"/>
    <w:rsid w:val="0000022A"/>
    <w:rsid w:val="00001BD7"/>
    <w:rsid w:val="0000249D"/>
    <w:rsid w:val="00002BC3"/>
    <w:rsid w:val="00003F1D"/>
    <w:rsid w:val="00004C44"/>
    <w:rsid w:val="0000696E"/>
    <w:rsid w:val="00006C10"/>
    <w:rsid w:val="00007616"/>
    <w:rsid w:val="000100E0"/>
    <w:rsid w:val="000114BE"/>
    <w:rsid w:val="000133EA"/>
    <w:rsid w:val="00014002"/>
    <w:rsid w:val="0001565A"/>
    <w:rsid w:val="00015A29"/>
    <w:rsid w:val="00015D25"/>
    <w:rsid w:val="00017618"/>
    <w:rsid w:val="0002158F"/>
    <w:rsid w:val="00021BA1"/>
    <w:rsid w:val="000220E1"/>
    <w:rsid w:val="00024D59"/>
    <w:rsid w:val="00027159"/>
    <w:rsid w:val="00027928"/>
    <w:rsid w:val="00027C08"/>
    <w:rsid w:val="000304AB"/>
    <w:rsid w:val="00030648"/>
    <w:rsid w:val="000308DA"/>
    <w:rsid w:val="00032F9C"/>
    <w:rsid w:val="00033152"/>
    <w:rsid w:val="00034BA4"/>
    <w:rsid w:val="00035CF1"/>
    <w:rsid w:val="00036EB7"/>
    <w:rsid w:val="00044F1C"/>
    <w:rsid w:val="000456AD"/>
    <w:rsid w:val="00045BCE"/>
    <w:rsid w:val="00046104"/>
    <w:rsid w:val="00050A04"/>
    <w:rsid w:val="00050E75"/>
    <w:rsid w:val="0005264B"/>
    <w:rsid w:val="00054C16"/>
    <w:rsid w:val="00060B06"/>
    <w:rsid w:val="00061120"/>
    <w:rsid w:val="0006260C"/>
    <w:rsid w:val="00063A0E"/>
    <w:rsid w:val="00063E36"/>
    <w:rsid w:val="00064A8A"/>
    <w:rsid w:val="00065C7B"/>
    <w:rsid w:val="00067F08"/>
    <w:rsid w:val="00073186"/>
    <w:rsid w:val="00073231"/>
    <w:rsid w:val="00076C1C"/>
    <w:rsid w:val="00076F0E"/>
    <w:rsid w:val="00081AD8"/>
    <w:rsid w:val="00081EE7"/>
    <w:rsid w:val="00082C4D"/>
    <w:rsid w:val="00083574"/>
    <w:rsid w:val="00083D66"/>
    <w:rsid w:val="00085E1D"/>
    <w:rsid w:val="000860C4"/>
    <w:rsid w:val="00086212"/>
    <w:rsid w:val="00086F85"/>
    <w:rsid w:val="0009332B"/>
    <w:rsid w:val="00096C4B"/>
    <w:rsid w:val="000A08A9"/>
    <w:rsid w:val="000A15DE"/>
    <w:rsid w:val="000A3914"/>
    <w:rsid w:val="000A40C1"/>
    <w:rsid w:val="000A5057"/>
    <w:rsid w:val="000B1625"/>
    <w:rsid w:val="000B202C"/>
    <w:rsid w:val="000B4826"/>
    <w:rsid w:val="000B5999"/>
    <w:rsid w:val="000B5F9D"/>
    <w:rsid w:val="000B6782"/>
    <w:rsid w:val="000C0739"/>
    <w:rsid w:val="000C1618"/>
    <w:rsid w:val="000C2F88"/>
    <w:rsid w:val="000C4F12"/>
    <w:rsid w:val="000C5299"/>
    <w:rsid w:val="000C5C7A"/>
    <w:rsid w:val="000C7033"/>
    <w:rsid w:val="000D05D8"/>
    <w:rsid w:val="000D4B0B"/>
    <w:rsid w:val="000D54CB"/>
    <w:rsid w:val="000D680E"/>
    <w:rsid w:val="000E138E"/>
    <w:rsid w:val="000E3482"/>
    <w:rsid w:val="000E36D3"/>
    <w:rsid w:val="000E371B"/>
    <w:rsid w:val="000E6D43"/>
    <w:rsid w:val="000E74A0"/>
    <w:rsid w:val="000E76C6"/>
    <w:rsid w:val="000F03C8"/>
    <w:rsid w:val="000F0D7F"/>
    <w:rsid w:val="000F26F9"/>
    <w:rsid w:val="000F2780"/>
    <w:rsid w:val="000F3233"/>
    <w:rsid w:val="000F3B85"/>
    <w:rsid w:val="000F6C03"/>
    <w:rsid w:val="000F6CF5"/>
    <w:rsid w:val="000F6D53"/>
    <w:rsid w:val="000F6ED8"/>
    <w:rsid w:val="00103B25"/>
    <w:rsid w:val="00103E88"/>
    <w:rsid w:val="00103F98"/>
    <w:rsid w:val="00104084"/>
    <w:rsid w:val="00105769"/>
    <w:rsid w:val="00107FEC"/>
    <w:rsid w:val="00111C17"/>
    <w:rsid w:val="00111E5C"/>
    <w:rsid w:val="00113ABF"/>
    <w:rsid w:val="00115695"/>
    <w:rsid w:val="001169CE"/>
    <w:rsid w:val="001179BF"/>
    <w:rsid w:val="00117F09"/>
    <w:rsid w:val="00122D2F"/>
    <w:rsid w:val="00122D44"/>
    <w:rsid w:val="00123F5D"/>
    <w:rsid w:val="0012407A"/>
    <w:rsid w:val="00125594"/>
    <w:rsid w:val="001264AC"/>
    <w:rsid w:val="00130088"/>
    <w:rsid w:val="00130B89"/>
    <w:rsid w:val="00133BE7"/>
    <w:rsid w:val="00135672"/>
    <w:rsid w:val="001378BF"/>
    <w:rsid w:val="00137D61"/>
    <w:rsid w:val="001427EC"/>
    <w:rsid w:val="00144AB8"/>
    <w:rsid w:val="00144C46"/>
    <w:rsid w:val="00144E0E"/>
    <w:rsid w:val="00145283"/>
    <w:rsid w:val="00146136"/>
    <w:rsid w:val="001465B6"/>
    <w:rsid w:val="001532B9"/>
    <w:rsid w:val="00153FDC"/>
    <w:rsid w:val="0015480C"/>
    <w:rsid w:val="00154E98"/>
    <w:rsid w:val="00155152"/>
    <w:rsid w:val="00164F33"/>
    <w:rsid w:val="00165DB8"/>
    <w:rsid w:val="001660CD"/>
    <w:rsid w:val="00170B83"/>
    <w:rsid w:val="00170D61"/>
    <w:rsid w:val="00171D0C"/>
    <w:rsid w:val="00174BE9"/>
    <w:rsid w:val="00176D5C"/>
    <w:rsid w:val="00177C77"/>
    <w:rsid w:val="00177D72"/>
    <w:rsid w:val="001800A5"/>
    <w:rsid w:val="001814D7"/>
    <w:rsid w:val="0018234A"/>
    <w:rsid w:val="00183D2C"/>
    <w:rsid w:val="0018533A"/>
    <w:rsid w:val="00190A57"/>
    <w:rsid w:val="001910F1"/>
    <w:rsid w:val="00192E3D"/>
    <w:rsid w:val="00192F9A"/>
    <w:rsid w:val="00193999"/>
    <w:rsid w:val="00193A9D"/>
    <w:rsid w:val="001956D7"/>
    <w:rsid w:val="00197069"/>
    <w:rsid w:val="001A2697"/>
    <w:rsid w:val="001A2798"/>
    <w:rsid w:val="001A484F"/>
    <w:rsid w:val="001A4CB2"/>
    <w:rsid w:val="001A6DA2"/>
    <w:rsid w:val="001A7D23"/>
    <w:rsid w:val="001B0D2E"/>
    <w:rsid w:val="001B195D"/>
    <w:rsid w:val="001B3149"/>
    <w:rsid w:val="001B4762"/>
    <w:rsid w:val="001B4A15"/>
    <w:rsid w:val="001B5D15"/>
    <w:rsid w:val="001B70FB"/>
    <w:rsid w:val="001C025D"/>
    <w:rsid w:val="001C15E7"/>
    <w:rsid w:val="001C29AD"/>
    <w:rsid w:val="001C3507"/>
    <w:rsid w:val="001C42AD"/>
    <w:rsid w:val="001C6862"/>
    <w:rsid w:val="001C6D01"/>
    <w:rsid w:val="001D0957"/>
    <w:rsid w:val="001D0CD9"/>
    <w:rsid w:val="001D3627"/>
    <w:rsid w:val="001D47B2"/>
    <w:rsid w:val="001D56BE"/>
    <w:rsid w:val="001D6AB4"/>
    <w:rsid w:val="001E068C"/>
    <w:rsid w:val="001E0FA6"/>
    <w:rsid w:val="001E2192"/>
    <w:rsid w:val="001E3839"/>
    <w:rsid w:val="001E44E3"/>
    <w:rsid w:val="001E4DB8"/>
    <w:rsid w:val="001E5123"/>
    <w:rsid w:val="001E5FE1"/>
    <w:rsid w:val="001E7944"/>
    <w:rsid w:val="001E7A28"/>
    <w:rsid w:val="001F06F0"/>
    <w:rsid w:val="001F219C"/>
    <w:rsid w:val="001F44A5"/>
    <w:rsid w:val="001F4E08"/>
    <w:rsid w:val="001F5BF1"/>
    <w:rsid w:val="001F6745"/>
    <w:rsid w:val="001F6754"/>
    <w:rsid w:val="001F693A"/>
    <w:rsid w:val="002031A9"/>
    <w:rsid w:val="0020405E"/>
    <w:rsid w:val="00204D77"/>
    <w:rsid w:val="0020621C"/>
    <w:rsid w:val="00216DA8"/>
    <w:rsid w:val="002177DB"/>
    <w:rsid w:val="0021793B"/>
    <w:rsid w:val="002203B1"/>
    <w:rsid w:val="00220B4C"/>
    <w:rsid w:val="00220CB9"/>
    <w:rsid w:val="00222602"/>
    <w:rsid w:val="002323D2"/>
    <w:rsid w:val="00232B19"/>
    <w:rsid w:val="002331F0"/>
    <w:rsid w:val="002335C3"/>
    <w:rsid w:val="00233903"/>
    <w:rsid w:val="0023429D"/>
    <w:rsid w:val="0023460E"/>
    <w:rsid w:val="00235450"/>
    <w:rsid w:val="00236C3C"/>
    <w:rsid w:val="0023727D"/>
    <w:rsid w:val="00240849"/>
    <w:rsid w:val="0024087A"/>
    <w:rsid w:val="00242F54"/>
    <w:rsid w:val="00243CE3"/>
    <w:rsid w:val="00245011"/>
    <w:rsid w:val="0024535B"/>
    <w:rsid w:val="00251540"/>
    <w:rsid w:val="00253568"/>
    <w:rsid w:val="0025515B"/>
    <w:rsid w:val="00255F0F"/>
    <w:rsid w:val="00256691"/>
    <w:rsid w:val="00256B8A"/>
    <w:rsid w:val="00257058"/>
    <w:rsid w:val="00257B3C"/>
    <w:rsid w:val="00260AFB"/>
    <w:rsid w:val="002629C4"/>
    <w:rsid w:val="00262B71"/>
    <w:rsid w:val="002636B0"/>
    <w:rsid w:val="00263D9F"/>
    <w:rsid w:val="002642B5"/>
    <w:rsid w:val="00264490"/>
    <w:rsid w:val="00265802"/>
    <w:rsid w:val="00265937"/>
    <w:rsid w:val="002663EE"/>
    <w:rsid w:val="00266F04"/>
    <w:rsid w:val="002703E1"/>
    <w:rsid w:val="00270CA0"/>
    <w:rsid w:val="002756F7"/>
    <w:rsid w:val="00275A54"/>
    <w:rsid w:val="00282422"/>
    <w:rsid w:val="00283105"/>
    <w:rsid w:val="002833CA"/>
    <w:rsid w:val="00283C0F"/>
    <w:rsid w:val="0028434D"/>
    <w:rsid w:val="00284365"/>
    <w:rsid w:val="00284D9F"/>
    <w:rsid w:val="0028713C"/>
    <w:rsid w:val="002872BB"/>
    <w:rsid w:val="00287DC0"/>
    <w:rsid w:val="00290993"/>
    <w:rsid w:val="00290C24"/>
    <w:rsid w:val="00292630"/>
    <w:rsid w:val="002930CF"/>
    <w:rsid w:val="0029408A"/>
    <w:rsid w:val="002945E0"/>
    <w:rsid w:val="002948C5"/>
    <w:rsid w:val="00294A00"/>
    <w:rsid w:val="00295C26"/>
    <w:rsid w:val="00295E3F"/>
    <w:rsid w:val="002965A1"/>
    <w:rsid w:val="002A023D"/>
    <w:rsid w:val="002A0586"/>
    <w:rsid w:val="002A08E2"/>
    <w:rsid w:val="002A3EF5"/>
    <w:rsid w:val="002A47CB"/>
    <w:rsid w:val="002A5F75"/>
    <w:rsid w:val="002A5FCE"/>
    <w:rsid w:val="002A5FDA"/>
    <w:rsid w:val="002A6C08"/>
    <w:rsid w:val="002B1384"/>
    <w:rsid w:val="002B2669"/>
    <w:rsid w:val="002B2F4B"/>
    <w:rsid w:val="002B3AE6"/>
    <w:rsid w:val="002B4BD7"/>
    <w:rsid w:val="002B4DF2"/>
    <w:rsid w:val="002B624C"/>
    <w:rsid w:val="002C02F4"/>
    <w:rsid w:val="002C0C77"/>
    <w:rsid w:val="002C0F34"/>
    <w:rsid w:val="002C3679"/>
    <w:rsid w:val="002C3B03"/>
    <w:rsid w:val="002C4678"/>
    <w:rsid w:val="002C4CD0"/>
    <w:rsid w:val="002C68AF"/>
    <w:rsid w:val="002C728C"/>
    <w:rsid w:val="002C77BD"/>
    <w:rsid w:val="002D159F"/>
    <w:rsid w:val="002D4EC7"/>
    <w:rsid w:val="002D500A"/>
    <w:rsid w:val="002D652D"/>
    <w:rsid w:val="002E1843"/>
    <w:rsid w:val="002E2CCC"/>
    <w:rsid w:val="002E2E6C"/>
    <w:rsid w:val="002E7802"/>
    <w:rsid w:val="002E7C96"/>
    <w:rsid w:val="002F4257"/>
    <w:rsid w:val="002F4A6F"/>
    <w:rsid w:val="002F4E97"/>
    <w:rsid w:val="002F4F10"/>
    <w:rsid w:val="002F5054"/>
    <w:rsid w:val="002F5896"/>
    <w:rsid w:val="002F6B77"/>
    <w:rsid w:val="002F7943"/>
    <w:rsid w:val="00300BF0"/>
    <w:rsid w:val="003021B9"/>
    <w:rsid w:val="003031B7"/>
    <w:rsid w:val="00303EE6"/>
    <w:rsid w:val="003051FA"/>
    <w:rsid w:val="003101C8"/>
    <w:rsid w:val="00313429"/>
    <w:rsid w:val="0031408B"/>
    <w:rsid w:val="003142B0"/>
    <w:rsid w:val="00315F6A"/>
    <w:rsid w:val="0031713B"/>
    <w:rsid w:val="0032149F"/>
    <w:rsid w:val="0032245B"/>
    <w:rsid w:val="00322845"/>
    <w:rsid w:val="00323561"/>
    <w:rsid w:val="00324136"/>
    <w:rsid w:val="0032430F"/>
    <w:rsid w:val="00324406"/>
    <w:rsid w:val="00326137"/>
    <w:rsid w:val="00326356"/>
    <w:rsid w:val="003270AC"/>
    <w:rsid w:val="003304A7"/>
    <w:rsid w:val="003322D1"/>
    <w:rsid w:val="00332405"/>
    <w:rsid w:val="00333AC1"/>
    <w:rsid w:val="00333E34"/>
    <w:rsid w:val="00336777"/>
    <w:rsid w:val="0034225E"/>
    <w:rsid w:val="00342AA0"/>
    <w:rsid w:val="00342D65"/>
    <w:rsid w:val="0034327B"/>
    <w:rsid w:val="00343606"/>
    <w:rsid w:val="00346D42"/>
    <w:rsid w:val="00351CB3"/>
    <w:rsid w:val="003545E9"/>
    <w:rsid w:val="00355C30"/>
    <w:rsid w:val="00356A8A"/>
    <w:rsid w:val="00357DE8"/>
    <w:rsid w:val="0036037D"/>
    <w:rsid w:val="00360CE2"/>
    <w:rsid w:val="003622A7"/>
    <w:rsid w:val="0036275C"/>
    <w:rsid w:val="00365703"/>
    <w:rsid w:val="00365B01"/>
    <w:rsid w:val="00365B71"/>
    <w:rsid w:val="00366F26"/>
    <w:rsid w:val="0036733A"/>
    <w:rsid w:val="0037268D"/>
    <w:rsid w:val="0037304A"/>
    <w:rsid w:val="0037309C"/>
    <w:rsid w:val="00373779"/>
    <w:rsid w:val="00375465"/>
    <w:rsid w:val="003768B2"/>
    <w:rsid w:val="00377A7F"/>
    <w:rsid w:val="00384D38"/>
    <w:rsid w:val="003851E0"/>
    <w:rsid w:val="0039060F"/>
    <w:rsid w:val="00392BCA"/>
    <w:rsid w:val="003945DD"/>
    <w:rsid w:val="003954A8"/>
    <w:rsid w:val="003954E7"/>
    <w:rsid w:val="00396861"/>
    <w:rsid w:val="00397819"/>
    <w:rsid w:val="003A0C2D"/>
    <w:rsid w:val="003A5607"/>
    <w:rsid w:val="003A5E39"/>
    <w:rsid w:val="003B14BF"/>
    <w:rsid w:val="003B1859"/>
    <w:rsid w:val="003B5776"/>
    <w:rsid w:val="003B7D5D"/>
    <w:rsid w:val="003C0086"/>
    <w:rsid w:val="003C27D3"/>
    <w:rsid w:val="003C2B03"/>
    <w:rsid w:val="003C3124"/>
    <w:rsid w:val="003C6756"/>
    <w:rsid w:val="003C71A8"/>
    <w:rsid w:val="003C7ADD"/>
    <w:rsid w:val="003D0CA3"/>
    <w:rsid w:val="003D1A53"/>
    <w:rsid w:val="003D3B9C"/>
    <w:rsid w:val="003D43FA"/>
    <w:rsid w:val="003D4BEE"/>
    <w:rsid w:val="003D5166"/>
    <w:rsid w:val="003D597A"/>
    <w:rsid w:val="003D5B09"/>
    <w:rsid w:val="003D6F21"/>
    <w:rsid w:val="003E34BF"/>
    <w:rsid w:val="003F10A7"/>
    <w:rsid w:val="003F11C0"/>
    <w:rsid w:val="003F1EF2"/>
    <w:rsid w:val="003F2826"/>
    <w:rsid w:val="003F3805"/>
    <w:rsid w:val="003F4157"/>
    <w:rsid w:val="003F4C46"/>
    <w:rsid w:val="003F4FBB"/>
    <w:rsid w:val="003F60A7"/>
    <w:rsid w:val="00401F6C"/>
    <w:rsid w:val="00402880"/>
    <w:rsid w:val="00402A04"/>
    <w:rsid w:val="00402AB6"/>
    <w:rsid w:val="00407AD2"/>
    <w:rsid w:val="004147B8"/>
    <w:rsid w:val="00415AC9"/>
    <w:rsid w:val="004164CD"/>
    <w:rsid w:val="00420274"/>
    <w:rsid w:val="00422BC5"/>
    <w:rsid w:val="00424DD4"/>
    <w:rsid w:val="004253EA"/>
    <w:rsid w:val="00426F30"/>
    <w:rsid w:val="004346E2"/>
    <w:rsid w:val="00435847"/>
    <w:rsid w:val="0043593C"/>
    <w:rsid w:val="0044005C"/>
    <w:rsid w:val="004409B3"/>
    <w:rsid w:val="00440A56"/>
    <w:rsid w:val="004424E1"/>
    <w:rsid w:val="00443F45"/>
    <w:rsid w:val="00445461"/>
    <w:rsid w:val="00446F58"/>
    <w:rsid w:val="00450B16"/>
    <w:rsid w:val="004514C7"/>
    <w:rsid w:val="004543E9"/>
    <w:rsid w:val="0045444B"/>
    <w:rsid w:val="004600B5"/>
    <w:rsid w:val="00460454"/>
    <w:rsid w:val="0046079C"/>
    <w:rsid w:val="00462190"/>
    <w:rsid w:val="0046676E"/>
    <w:rsid w:val="00470549"/>
    <w:rsid w:val="00471E5D"/>
    <w:rsid w:val="00472D81"/>
    <w:rsid w:val="00473285"/>
    <w:rsid w:val="004737ED"/>
    <w:rsid w:val="00474406"/>
    <w:rsid w:val="00474420"/>
    <w:rsid w:val="00474552"/>
    <w:rsid w:val="00475589"/>
    <w:rsid w:val="00481A6A"/>
    <w:rsid w:val="00486AFC"/>
    <w:rsid w:val="00486B40"/>
    <w:rsid w:val="0049113B"/>
    <w:rsid w:val="00492F93"/>
    <w:rsid w:val="00493F79"/>
    <w:rsid w:val="00495599"/>
    <w:rsid w:val="00496347"/>
    <w:rsid w:val="004A0033"/>
    <w:rsid w:val="004A034A"/>
    <w:rsid w:val="004A1D16"/>
    <w:rsid w:val="004A2173"/>
    <w:rsid w:val="004A667A"/>
    <w:rsid w:val="004A6AEE"/>
    <w:rsid w:val="004A6F0A"/>
    <w:rsid w:val="004B0A7C"/>
    <w:rsid w:val="004B3CA5"/>
    <w:rsid w:val="004B597B"/>
    <w:rsid w:val="004B5A8A"/>
    <w:rsid w:val="004C08FD"/>
    <w:rsid w:val="004C0D71"/>
    <w:rsid w:val="004C4203"/>
    <w:rsid w:val="004C5497"/>
    <w:rsid w:val="004C6D03"/>
    <w:rsid w:val="004C7200"/>
    <w:rsid w:val="004D09FC"/>
    <w:rsid w:val="004D0C39"/>
    <w:rsid w:val="004D0DD8"/>
    <w:rsid w:val="004D52F7"/>
    <w:rsid w:val="004D5FC5"/>
    <w:rsid w:val="004E1573"/>
    <w:rsid w:val="004E1BED"/>
    <w:rsid w:val="004E251F"/>
    <w:rsid w:val="004E29FE"/>
    <w:rsid w:val="004E2AD9"/>
    <w:rsid w:val="004E36A0"/>
    <w:rsid w:val="004E4D86"/>
    <w:rsid w:val="004E7AE3"/>
    <w:rsid w:val="004F05D5"/>
    <w:rsid w:val="004F34AF"/>
    <w:rsid w:val="004F3E2F"/>
    <w:rsid w:val="004F5ACB"/>
    <w:rsid w:val="004F5FC9"/>
    <w:rsid w:val="004F645A"/>
    <w:rsid w:val="0050133D"/>
    <w:rsid w:val="00501BFA"/>
    <w:rsid w:val="005041A7"/>
    <w:rsid w:val="005043BE"/>
    <w:rsid w:val="00505555"/>
    <w:rsid w:val="00505EAF"/>
    <w:rsid w:val="0050702E"/>
    <w:rsid w:val="00507F86"/>
    <w:rsid w:val="00511204"/>
    <w:rsid w:val="00511B69"/>
    <w:rsid w:val="00512236"/>
    <w:rsid w:val="005137F2"/>
    <w:rsid w:val="00513E0C"/>
    <w:rsid w:val="00514675"/>
    <w:rsid w:val="0051609D"/>
    <w:rsid w:val="00517776"/>
    <w:rsid w:val="00517FB7"/>
    <w:rsid w:val="00521B60"/>
    <w:rsid w:val="00521BE4"/>
    <w:rsid w:val="00522ABA"/>
    <w:rsid w:val="00523DF9"/>
    <w:rsid w:val="00527144"/>
    <w:rsid w:val="005304DE"/>
    <w:rsid w:val="00530DCA"/>
    <w:rsid w:val="00531866"/>
    <w:rsid w:val="00533214"/>
    <w:rsid w:val="0053384A"/>
    <w:rsid w:val="00533AD6"/>
    <w:rsid w:val="00535874"/>
    <w:rsid w:val="005469C0"/>
    <w:rsid w:val="0054731D"/>
    <w:rsid w:val="00547E7E"/>
    <w:rsid w:val="00552F6B"/>
    <w:rsid w:val="00552F84"/>
    <w:rsid w:val="005551D6"/>
    <w:rsid w:val="00561123"/>
    <w:rsid w:val="00562E23"/>
    <w:rsid w:val="0056407B"/>
    <w:rsid w:val="00564662"/>
    <w:rsid w:val="005662DD"/>
    <w:rsid w:val="0056631F"/>
    <w:rsid w:val="005679BF"/>
    <w:rsid w:val="00574F7E"/>
    <w:rsid w:val="005757F6"/>
    <w:rsid w:val="005757FC"/>
    <w:rsid w:val="005759C8"/>
    <w:rsid w:val="00581046"/>
    <w:rsid w:val="00583796"/>
    <w:rsid w:val="00586849"/>
    <w:rsid w:val="00586BDA"/>
    <w:rsid w:val="00587C66"/>
    <w:rsid w:val="005907E1"/>
    <w:rsid w:val="00590D4B"/>
    <w:rsid w:val="00590DEC"/>
    <w:rsid w:val="00593DF0"/>
    <w:rsid w:val="00594499"/>
    <w:rsid w:val="00595DDD"/>
    <w:rsid w:val="005A05A9"/>
    <w:rsid w:val="005A09C8"/>
    <w:rsid w:val="005A0DFB"/>
    <w:rsid w:val="005A2242"/>
    <w:rsid w:val="005A3AC2"/>
    <w:rsid w:val="005A4026"/>
    <w:rsid w:val="005A6278"/>
    <w:rsid w:val="005B0370"/>
    <w:rsid w:val="005B2BB3"/>
    <w:rsid w:val="005B30C5"/>
    <w:rsid w:val="005B656E"/>
    <w:rsid w:val="005B75F1"/>
    <w:rsid w:val="005C01BB"/>
    <w:rsid w:val="005C2A31"/>
    <w:rsid w:val="005C3672"/>
    <w:rsid w:val="005C4467"/>
    <w:rsid w:val="005C4A25"/>
    <w:rsid w:val="005C7645"/>
    <w:rsid w:val="005D0A50"/>
    <w:rsid w:val="005D0FE2"/>
    <w:rsid w:val="005D408B"/>
    <w:rsid w:val="005D4F09"/>
    <w:rsid w:val="005D75CC"/>
    <w:rsid w:val="005D7E57"/>
    <w:rsid w:val="005E2836"/>
    <w:rsid w:val="005E2EF6"/>
    <w:rsid w:val="005E565F"/>
    <w:rsid w:val="005E56B8"/>
    <w:rsid w:val="005E57FF"/>
    <w:rsid w:val="005F1027"/>
    <w:rsid w:val="005F3AE7"/>
    <w:rsid w:val="005F3AFF"/>
    <w:rsid w:val="005F4743"/>
    <w:rsid w:val="005F6805"/>
    <w:rsid w:val="005F7645"/>
    <w:rsid w:val="00601886"/>
    <w:rsid w:val="00601922"/>
    <w:rsid w:val="00602A35"/>
    <w:rsid w:val="00604723"/>
    <w:rsid w:val="00605F5D"/>
    <w:rsid w:val="00606AE2"/>
    <w:rsid w:val="00607A2F"/>
    <w:rsid w:val="00607A9B"/>
    <w:rsid w:val="00607DBA"/>
    <w:rsid w:val="006109AC"/>
    <w:rsid w:val="00610EDF"/>
    <w:rsid w:val="00611075"/>
    <w:rsid w:val="006127AF"/>
    <w:rsid w:val="00613E6C"/>
    <w:rsid w:val="00615E6C"/>
    <w:rsid w:val="006169C2"/>
    <w:rsid w:val="00616B48"/>
    <w:rsid w:val="00617AEA"/>
    <w:rsid w:val="00617F9B"/>
    <w:rsid w:val="00620A75"/>
    <w:rsid w:val="00620BE5"/>
    <w:rsid w:val="00624132"/>
    <w:rsid w:val="00625352"/>
    <w:rsid w:val="00626606"/>
    <w:rsid w:val="00631429"/>
    <w:rsid w:val="0063219B"/>
    <w:rsid w:val="00632543"/>
    <w:rsid w:val="00634F76"/>
    <w:rsid w:val="00635DC2"/>
    <w:rsid w:val="0063609C"/>
    <w:rsid w:val="006362C3"/>
    <w:rsid w:val="00641194"/>
    <w:rsid w:val="00641BA3"/>
    <w:rsid w:val="00643C89"/>
    <w:rsid w:val="0064694D"/>
    <w:rsid w:val="00650F3F"/>
    <w:rsid w:val="00651028"/>
    <w:rsid w:val="00652337"/>
    <w:rsid w:val="00654127"/>
    <w:rsid w:val="00654294"/>
    <w:rsid w:val="006551D5"/>
    <w:rsid w:val="0065798B"/>
    <w:rsid w:val="006579DD"/>
    <w:rsid w:val="00662D00"/>
    <w:rsid w:val="00663A09"/>
    <w:rsid w:val="00664AED"/>
    <w:rsid w:val="0066552F"/>
    <w:rsid w:val="006700CC"/>
    <w:rsid w:val="00671B03"/>
    <w:rsid w:val="006728D7"/>
    <w:rsid w:val="00681545"/>
    <w:rsid w:val="00681681"/>
    <w:rsid w:val="00690C97"/>
    <w:rsid w:val="0069178F"/>
    <w:rsid w:val="006918DD"/>
    <w:rsid w:val="006936E6"/>
    <w:rsid w:val="00693912"/>
    <w:rsid w:val="00694A94"/>
    <w:rsid w:val="006954CD"/>
    <w:rsid w:val="00695E5E"/>
    <w:rsid w:val="0069742F"/>
    <w:rsid w:val="006A1638"/>
    <w:rsid w:val="006A1D1F"/>
    <w:rsid w:val="006A1E67"/>
    <w:rsid w:val="006A2180"/>
    <w:rsid w:val="006A2365"/>
    <w:rsid w:val="006A5125"/>
    <w:rsid w:val="006A5263"/>
    <w:rsid w:val="006A79AA"/>
    <w:rsid w:val="006B07C3"/>
    <w:rsid w:val="006B13B1"/>
    <w:rsid w:val="006B42D9"/>
    <w:rsid w:val="006B5177"/>
    <w:rsid w:val="006B625B"/>
    <w:rsid w:val="006B660D"/>
    <w:rsid w:val="006B6BB5"/>
    <w:rsid w:val="006B6E9F"/>
    <w:rsid w:val="006C0813"/>
    <w:rsid w:val="006C1DCD"/>
    <w:rsid w:val="006D12AB"/>
    <w:rsid w:val="006D3377"/>
    <w:rsid w:val="006D46E2"/>
    <w:rsid w:val="006D4D47"/>
    <w:rsid w:val="006D5700"/>
    <w:rsid w:val="006D7AD3"/>
    <w:rsid w:val="006D7F09"/>
    <w:rsid w:val="006E0E89"/>
    <w:rsid w:val="006E31E2"/>
    <w:rsid w:val="006E62A9"/>
    <w:rsid w:val="006F030E"/>
    <w:rsid w:val="006F4D48"/>
    <w:rsid w:val="006F64ED"/>
    <w:rsid w:val="006F6960"/>
    <w:rsid w:val="00702D47"/>
    <w:rsid w:val="00702EA8"/>
    <w:rsid w:val="007037B1"/>
    <w:rsid w:val="00703FF9"/>
    <w:rsid w:val="0070613D"/>
    <w:rsid w:val="0070627C"/>
    <w:rsid w:val="00706662"/>
    <w:rsid w:val="00706C4B"/>
    <w:rsid w:val="00706F64"/>
    <w:rsid w:val="0070732C"/>
    <w:rsid w:val="00713A2D"/>
    <w:rsid w:val="00713E7F"/>
    <w:rsid w:val="00714EF3"/>
    <w:rsid w:val="00715611"/>
    <w:rsid w:val="0072068E"/>
    <w:rsid w:val="007207BE"/>
    <w:rsid w:val="00723FE6"/>
    <w:rsid w:val="00724E5A"/>
    <w:rsid w:val="00726DC4"/>
    <w:rsid w:val="007271E4"/>
    <w:rsid w:val="00727C1A"/>
    <w:rsid w:val="00730402"/>
    <w:rsid w:val="00731699"/>
    <w:rsid w:val="00733FA0"/>
    <w:rsid w:val="00734A3E"/>
    <w:rsid w:val="00734B2F"/>
    <w:rsid w:val="00734D4B"/>
    <w:rsid w:val="0073533C"/>
    <w:rsid w:val="00735D38"/>
    <w:rsid w:val="00736A69"/>
    <w:rsid w:val="007423B8"/>
    <w:rsid w:val="00745226"/>
    <w:rsid w:val="007454F8"/>
    <w:rsid w:val="007465AC"/>
    <w:rsid w:val="007475E9"/>
    <w:rsid w:val="00747E09"/>
    <w:rsid w:val="0075165E"/>
    <w:rsid w:val="00753AD3"/>
    <w:rsid w:val="00753BD9"/>
    <w:rsid w:val="00753F3B"/>
    <w:rsid w:val="007616A8"/>
    <w:rsid w:val="00762A88"/>
    <w:rsid w:val="0076378D"/>
    <w:rsid w:val="00764026"/>
    <w:rsid w:val="0076421A"/>
    <w:rsid w:val="007666E7"/>
    <w:rsid w:val="007702E1"/>
    <w:rsid w:val="00770501"/>
    <w:rsid w:val="00771E9E"/>
    <w:rsid w:val="00773877"/>
    <w:rsid w:val="00774619"/>
    <w:rsid w:val="007776E7"/>
    <w:rsid w:val="00780208"/>
    <w:rsid w:val="007827B9"/>
    <w:rsid w:val="007868BF"/>
    <w:rsid w:val="00786FB6"/>
    <w:rsid w:val="00793CC2"/>
    <w:rsid w:val="00794FCC"/>
    <w:rsid w:val="007968C6"/>
    <w:rsid w:val="00797278"/>
    <w:rsid w:val="00797C05"/>
    <w:rsid w:val="00797D12"/>
    <w:rsid w:val="007A0422"/>
    <w:rsid w:val="007A241C"/>
    <w:rsid w:val="007A3516"/>
    <w:rsid w:val="007A43D9"/>
    <w:rsid w:val="007A624C"/>
    <w:rsid w:val="007B01DD"/>
    <w:rsid w:val="007B0A4D"/>
    <w:rsid w:val="007B0C1E"/>
    <w:rsid w:val="007B1867"/>
    <w:rsid w:val="007B2169"/>
    <w:rsid w:val="007B274A"/>
    <w:rsid w:val="007B3BCA"/>
    <w:rsid w:val="007B4D7B"/>
    <w:rsid w:val="007B754C"/>
    <w:rsid w:val="007C02B2"/>
    <w:rsid w:val="007C0B7A"/>
    <w:rsid w:val="007C0D26"/>
    <w:rsid w:val="007C3696"/>
    <w:rsid w:val="007C3FB8"/>
    <w:rsid w:val="007C50B4"/>
    <w:rsid w:val="007D1253"/>
    <w:rsid w:val="007D14BB"/>
    <w:rsid w:val="007D186A"/>
    <w:rsid w:val="007D1F3E"/>
    <w:rsid w:val="007D240E"/>
    <w:rsid w:val="007D3EEB"/>
    <w:rsid w:val="007D5BD0"/>
    <w:rsid w:val="007D721F"/>
    <w:rsid w:val="007E0462"/>
    <w:rsid w:val="007E1BED"/>
    <w:rsid w:val="007E46E8"/>
    <w:rsid w:val="007E49F5"/>
    <w:rsid w:val="007E5698"/>
    <w:rsid w:val="007E7D4D"/>
    <w:rsid w:val="007F030A"/>
    <w:rsid w:val="007F0397"/>
    <w:rsid w:val="007F0AA5"/>
    <w:rsid w:val="007F1420"/>
    <w:rsid w:val="007F1816"/>
    <w:rsid w:val="007F378A"/>
    <w:rsid w:val="007F3A5E"/>
    <w:rsid w:val="007F3CD1"/>
    <w:rsid w:val="007F3E11"/>
    <w:rsid w:val="007F574A"/>
    <w:rsid w:val="007F59AC"/>
    <w:rsid w:val="007F7DA7"/>
    <w:rsid w:val="0080066E"/>
    <w:rsid w:val="0080183C"/>
    <w:rsid w:val="00802265"/>
    <w:rsid w:val="008035F1"/>
    <w:rsid w:val="00804BCF"/>
    <w:rsid w:val="008050B8"/>
    <w:rsid w:val="008055C4"/>
    <w:rsid w:val="00812A5C"/>
    <w:rsid w:val="00813940"/>
    <w:rsid w:val="00814B4B"/>
    <w:rsid w:val="00814BD3"/>
    <w:rsid w:val="00814CCA"/>
    <w:rsid w:val="00815816"/>
    <w:rsid w:val="00816BF5"/>
    <w:rsid w:val="00821674"/>
    <w:rsid w:val="008218A9"/>
    <w:rsid w:val="00823689"/>
    <w:rsid w:val="00823BDD"/>
    <w:rsid w:val="00825B85"/>
    <w:rsid w:val="0082700D"/>
    <w:rsid w:val="00827419"/>
    <w:rsid w:val="0082781B"/>
    <w:rsid w:val="0082783A"/>
    <w:rsid w:val="008304BD"/>
    <w:rsid w:val="00831062"/>
    <w:rsid w:val="008318F1"/>
    <w:rsid w:val="00832031"/>
    <w:rsid w:val="008331EF"/>
    <w:rsid w:val="00833400"/>
    <w:rsid w:val="00834178"/>
    <w:rsid w:val="0083612B"/>
    <w:rsid w:val="00836C2F"/>
    <w:rsid w:val="008405DD"/>
    <w:rsid w:val="008416BE"/>
    <w:rsid w:val="0084192D"/>
    <w:rsid w:val="008430CF"/>
    <w:rsid w:val="00846FCF"/>
    <w:rsid w:val="008473DA"/>
    <w:rsid w:val="008518B3"/>
    <w:rsid w:val="008519D1"/>
    <w:rsid w:val="00852C97"/>
    <w:rsid w:val="00853C63"/>
    <w:rsid w:val="0085477B"/>
    <w:rsid w:val="00855D09"/>
    <w:rsid w:val="00856A12"/>
    <w:rsid w:val="008575DB"/>
    <w:rsid w:val="008576F3"/>
    <w:rsid w:val="00862260"/>
    <w:rsid w:val="00866279"/>
    <w:rsid w:val="00867C94"/>
    <w:rsid w:val="00867F2D"/>
    <w:rsid w:val="00870B09"/>
    <w:rsid w:val="00872A3B"/>
    <w:rsid w:val="0087429D"/>
    <w:rsid w:val="0087442A"/>
    <w:rsid w:val="00876FF4"/>
    <w:rsid w:val="008775DE"/>
    <w:rsid w:val="0088247D"/>
    <w:rsid w:val="0088306A"/>
    <w:rsid w:val="008840C1"/>
    <w:rsid w:val="00884957"/>
    <w:rsid w:val="0088633D"/>
    <w:rsid w:val="00887BD1"/>
    <w:rsid w:val="0089207B"/>
    <w:rsid w:val="008936A0"/>
    <w:rsid w:val="00893DF3"/>
    <w:rsid w:val="008A1E26"/>
    <w:rsid w:val="008A45BA"/>
    <w:rsid w:val="008A5CD1"/>
    <w:rsid w:val="008A6D70"/>
    <w:rsid w:val="008B1413"/>
    <w:rsid w:val="008B27D2"/>
    <w:rsid w:val="008B3CE8"/>
    <w:rsid w:val="008B7228"/>
    <w:rsid w:val="008C161A"/>
    <w:rsid w:val="008C1B42"/>
    <w:rsid w:val="008C2035"/>
    <w:rsid w:val="008C3CE9"/>
    <w:rsid w:val="008C3DF6"/>
    <w:rsid w:val="008C4904"/>
    <w:rsid w:val="008C493F"/>
    <w:rsid w:val="008C600C"/>
    <w:rsid w:val="008C69A9"/>
    <w:rsid w:val="008C7231"/>
    <w:rsid w:val="008D2786"/>
    <w:rsid w:val="008D45EF"/>
    <w:rsid w:val="008D63B9"/>
    <w:rsid w:val="008E2331"/>
    <w:rsid w:val="008E261E"/>
    <w:rsid w:val="008E4B7C"/>
    <w:rsid w:val="008E62FD"/>
    <w:rsid w:val="008F076A"/>
    <w:rsid w:val="008F2072"/>
    <w:rsid w:val="008F2774"/>
    <w:rsid w:val="008F5307"/>
    <w:rsid w:val="00900501"/>
    <w:rsid w:val="00902550"/>
    <w:rsid w:val="00902853"/>
    <w:rsid w:val="00902DDD"/>
    <w:rsid w:val="00905184"/>
    <w:rsid w:val="009053C5"/>
    <w:rsid w:val="00905A5B"/>
    <w:rsid w:val="00906BA2"/>
    <w:rsid w:val="009074B5"/>
    <w:rsid w:val="00911770"/>
    <w:rsid w:val="00912A20"/>
    <w:rsid w:val="00913858"/>
    <w:rsid w:val="009158FB"/>
    <w:rsid w:val="00915BC5"/>
    <w:rsid w:val="0092006E"/>
    <w:rsid w:val="00920794"/>
    <w:rsid w:val="00921D11"/>
    <w:rsid w:val="00921D8A"/>
    <w:rsid w:val="009234C5"/>
    <w:rsid w:val="00923D64"/>
    <w:rsid w:val="0092434D"/>
    <w:rsid w:val="00926486"/>
    <w:rsid w:val="0092685E"/>
    <w:rsid w:val="009275F6"/>
    <w:rsid w:val="00930F38"/>
    <w:rsid w:val="009324E6"/>
    <w:rsid w:val="009345CA"/>
    <w:rsid w:val="00935F34"/>
    <w:rsid w:val="009363F2"/>
    <w:rsid w:val="009369DF"/>
    <w:rsid w:val="00937579"/>
    <w:rsid w:val="00940607"/>
    <w:rsid w:val="00941E99"/>
    <w:rsid w:val="00942534"/>
    <w:rsid w:val="00943889"/>
    <w:rsid w:val="0094754F"/>
    <w:rsid w:val="00947C39"/>
    <w:rsid w:val="00947DC3"/>
    <w:rsid w:val="00947EBF"/>
    <w:rsid w:val="00953555"/>
    <w:rsid w:val="0095425C"/>
    <w:rsid w:val="009546E5"/>
    <w:rsid w:val="00954E10"/>
    <w:rsid w:val="009555F5"/>
    <w:rsid w:val="0095578F"/>
    <w:rsid w:val="009568AA"/>
    <w:rsid w:val="00957300"/>
    <w:rsid w:val="00957EC7"/>
    <w:rsid w:val="00962A59"/>
    <w:rsid w:val="00963EEF"/>
    <w:rsid w:val="00965037"/>
    <w:rsid w:val="00965314"/>
    <w:rsid w:val="0096666A"/>
    <w:rsid w:val="00967DBD"/>
    <w:rsid w:val="00972787"/>
    <w:rsid w:val="00972B8D"/>
    <w:rsid w:val="00975E18"/>
    <w:rsid w:val="009764B2"/>
    <w:rsid w:val="0098098F"/>
    <w:rsid w:val="009815B5"/>
    <w:rsid w:val="00983125"/>
    <w:rsid w:val="00984CDD"/>
    <w:rsid w:val="0098561E"/>
    <w:rsid w:val="009867DE"/>
    <w:rsid w:val="009873E4"/>
    <w:rsid w:val="00987A9D"/>
    <w:rsid w:val="00990A38"/>
    <w:rsid w:val="00990BC0"/>
    <w:rsid w:val="00992CB8"/>
    <w:rsid w:val="00992D0E"/>
    <w:rsid w:val="009933BD"/>
    <w:rsid w:val="00993DFE"/>
    <w:rsid w:val="00994769"/>
    <w:rsid w:val="00994D35"/>
    <w:rsid w:val="00994E94"/>
    <w:rsid w:val="0099539C"/>
    <w:rsid w:val="00995583"/>
    <w:rsid w:val="009977E3"/>
    <w:rsid w:val="009A064D"/>
    <w:rsid w:val="009A32D1"/>
    <w:rsid w:val="009A370D"/>
    <w:rsid w:val="009A46B4"/>
    <w:rsid w:val="009A4C2C"/>
    <w:rsid w:val="009A5D6C"/>
    <w:rsid w:val="009A6D9D"/>
    <w:rsid w:val="009A767D"/>
    <w:rsid w:val="009A7808"/>
    <w:rsid w:val="009A7EC4"/>
    <w:rsid w:val="009B33C9"/>
    <w:rsid w:val="009B5A16"/>
    <w:rsid w:val="009B5ACE"/>
    <w:rsid w:val="009B65D9"/>
    <w:rsid w:val="009C369F"/>
    <w:rsid w:val="009C3CBF"/>
    <w:rsid w:val="009C5670"/>
    <w:rsid w:val="009C57F8"/>
    <w:rsid w:val="009C61A9"/>
    <w:rsid w:val="009C6244"/>
    <w:rsid w:val="009C62CB"/>
    <w:rsid w:val="009C7BD7"/>
    <w:rsid w:val="009C7E8F"/>
    <w:rsid w:val="009D0862"/>
    <w:rsid w:val="009D1097"/>
    <w:rsid w:val="009D1D9A"/>
    <w:rsid w:val="009D2D24"/>
    <w:rsid w:val="009D300F"/>
    <w:rsid w:val="009D3CD4"/>
    <w:rsid w:val="009D4246"/>
    <w:rsid w:val="009D42DA"/>
    <w:rsid w:val="009D5015"/>
    <w:rsid w:val="009D59B8"/>
    <w:rsid w:val="009D757F"/>
    <w:rsid w:val="009E16F2"/>
    <w:rsid w:val="009E28CC"/>
    <w:rsid w:val="009E3E3F"/>
    <w:rsid w:val="009F00E3"/>
    <w:rsid w:val="009F13B5"/>
    <w:rsid w:val="009F2BF9"/>
    <w:rsid w:val="009F369F"/>
    <w:rsid w:val="009F4047"/>
    <w:rsid w:val="009F5AFF"/>
    <w:rsid w:val="009F5E49"/>
    <w:rsid w:val="009F7431"/>
    <w:rsid w:val="009F76CC"/>
    <w:rsid w:val="00A04200"/>
    <w:rsid w:val="00A04F0E"/>
    <w:rsid w:val="00A05358"/>
    <w:rsid w:val="00A05969"/>
    <w:rsid w:val="00A07DE9"/>
    <w:rsid w:val="00A13D5D"/>
    <w:rsid w:val="00A14714"/>
    <w:rsid w:val="00A1713E"/>
    <w:rsid w:val="00A175FB"/>
    <w:rsid w:val="00A21C4D"/>
    <w:rsid w:val="00A24CFD"/>
    <w:rsid w:val="00A26230"/>
    <w:rsid w:val="00A272B9"/>
    <w:rsid w:val="00A31657"/>
    <w:rsid w:val="00A32334"/>
    <w:rsid w:val="00A324F7"/>
    <w:rsid w:val="00A325D3"/>
    <w:rsid w:val="00A33678"/>
    <w:rsid w:val="00A33B39"/>
    <w:rsid w:val="00A371B8"/>
    <w:rsid w:val="00A40160"/>
    <w:rsid w:val="00A428F4"/>
    <w:rsid w:val="00A43ABC"/>
    <w:rsid w:val="00A44B9B"/>
    <w:rsid w:val="00A455DE"/>
    <w:rsid w:val="00A45889"/>
    <w:rsid w:val="00A45AC5"/>
    <w:rsid w:val="00A45C75"/>
    <w:rsid w:val="00A51D8F"/>
    <w:rsid w:val="00A51DBC"/>
    <w:rsid w:val="00A526A1"/>
    <w:rsid w:val="00A54137"/>
    <w:rsid w:val="00A55135"/>
    <w:rsid w:val="00A5681D"/>
    <w:rsid w:val="00A56E91"/>
    <w:rsid w:val="00A57E38"/>
    <w:rsid w:val="00A63524"/>
    <w:rsid w:val="00A643E0"/>
    <w:rsid w:val="00A64764"/>
    <w:rsid w:val="00A705E1"/>
    <w:rsid w:val="00A70DBF"/>
    <w:rsid w:val="00A71FE9"/>
    <w:rsid w:val="00A75410"/>
    <w:rsid w:val="00A7647A"/>
    <w:rsid w:val="00A76485"/>
    <w:rsid w:val="00A8129D"/>
    <w:rsid w:val="00A815E1"/>
    <w:rsid w:val="00A816A7"/>
    <w:rsid w:val="00A84074"/>
    <w:rsid w:val="00A8515C"/>
    <w:rsid w:val="00A851F7"/>
    <w:rsid w:val="00A85A43"/>
    <w:rsid w:val="00A85A9D"/>
    <w:rsid w:val="00A85E4D"/>
    <w:rsid w:val="00A90BA8"/>
    <w:rsid w:val="00A92266"/>
    <w:rsid w:val="00A9254C"/>
    <w:rsid w:val="00A938A4"/>
    <w:rsid w:val="00A946E2"/>
    <w:rsid w:val="00A956F5"/>
    <w:rsid w:val="00A9790B"/>
    <w:rsid w:val="00AA0093"/>
    <w:rsid w:val="00AA2970"/>
    <w:rsid w:val="00AA2D8A"/>
    <w:rsid w:val="00AA41D2"/>
    <w:rsid w:val="00AA4D4D"/>
    <w:rsid w:val="00AA4FD1"/>
    <w:rsid w:val="00AA5E17"/>
    <w:rsid w:val="00AA5E87"/>
    <w:rsid w:val="00AA5F2A"/>
    <w:rsid w:val="00AA5F2B"/>
    <w:rsid w:val="00AA6A8A"/>
    <w:rsid w:val="00AA75A0"/>
    <w:rsid w:val="00AB1841"/>
    <w:rsid w:val="00AB1FC9"/>
    <w:rsid w:val="00AB3917"/>
    <w:rsid w:val="00AB760B"/>
    <w:rsid w:val="00AB7679"/>
    <w:rsid w:val="00AC0785"/>
    <w:rsid w:val="00AC09D4"/>
    <w:rsid w:val="00AC20A0"/>
    <w:rsid w:val="00AC25B7"/>
    <w:rsid w:val="00AC4619"/>
    <w:rsid w:val="00AC4C9A"/>
    <w:rsid w:val="00AC5BC1"/>
    <w:rsid w:val="00AC70AB"/>
    <w:rsid w:val="00AD0144"/>
    <w:rsid w:val="00AD1E01"/>
    <w:rsid w:val="00AD214D"/>
    <w:rsid w:val="00AD34E3"/>
    <w:rsid w:val="00AD449D"/>
    <w:rsid w:val="00AD6965"/>
    <w:rsid w:val="00AE055A"/>
    <w:rsid w:val="00AF0318"/>
    <w:rsid w:val="00AF13D4"/>
    <w:rsid w:val="00AF15DE"/>
    <w:rsid w:val="00AF2148"/>
    <w:rsid w:val="00AF3486"/>
    <w:rsid w:val="00AF3621"/>
    <w:rsid w:val="00AF3FE1"/>
    <w:rsid w:val="00AF5FDD"/>
    <w:rsid w:val="00AF7523"/>
    <w:rsid w:val="00B00C74"/>
    <w:rsid w:val="00B02205"/>
    <w:rsid w:val="00B0288A"/>
    <w:rsid w:val="00B02A03"/>
    <w:rsid w:val="00B06141"/>
    <w:rsid w:val="00B10227"/>
    <w:rsid w:val="00B1031B"/>
    <w:rsid w:val="00B109FA"/>
    <w:rsid w:val="00B1135E"/>
    <w:rsid w:val="00B14B55"/>
    <w:rsid w:val="00B20003"/>
    <w:rsid w:val="00B20F06"/>
    <w:rsid w:val="00B22249"/>
    <w:rsid w:val="00B23484"/>
    <w:rsid w:val="00B236DA"/>
    <w:rsid w:val="00B2470A"/>
    <w:rsid w:val="00B25B38"/>
    <w:rsid w:val="00B25BD3"/>
    <w:rsid w:val="00B25C1C"/>
    <w:rsid w:val="00B27D5E"/>
    <w:rsid w:val="00B3129B"/>
    <w:rsid w:val="00B32300"/>
    <w:rsid w:val="00B32A52"/>
    <w:rsid w:val="00B34CAA"/>
    <w:rsid w:val="00B35C23"/>
    <w:rsid w:val="00B40BDC"/>
    <w:rsid w:val="00B42437"/>
    <w:rsid w:val="00B42A04"/>
    <w:rsid w:val="00B42EF4"/>
    <w:rsid w:val="00B445B6"/>
    <w:rsid w:val="00B4469E"/>
    <w:rsid w:val="00B452E5"/>
    <w:rsid w:val="00B45A90"/>
    <w:rsid w:val="00B46974"/>
    <w:rsid w:val="00B47678"/>
    <w:rsid w:val="00B51B3B"/>
    <w:rsid w:val="00B55DD2"/>
    <w:rsid w:val="00B5670D"/>
    <w:rsid w:val="00B60436"/>
    <w:rsid w:val="00B62EC5"/>
    <w:rsid w:val="00B63468"/>
    <w:rsid w:val="00B6701C"/>
    <w:rsid w:val="00B70406"/>
    <w:rsid w:val="00B70FA8"/>
    <w:rsid w:val="00B762B6"/>
    <w:rsid w:val="00B7714A"/>
    <w:rsid w:val="00B77A96"/>
    <w:rsid w:val="00B80580"/>
    <w:rsid w:val="00B82D90"/>
    <w:rsid w:val="00B864DB"/>
    <w:rsid w:val="00B86CFE"/>
    <w:rsid w:val="00B87609"/>
    <w:rsid w:val="00B87DFD"/>
    <w:rsid w:val="00B90A07"/>
    <w:rsid w:val="00B92638"/>
    <w:rsid w:val="00B9294F"/>
    <w:rsid w:val="00B92C4F"/>
    <w:rsid w:val="00B9493B"/>
    <w:rsid w:val="00BA0B6C"/>
    <w:rsid w:val="00BA1200"/>
    <w:rsid w:val="00BA2695"/>
    <w:rsid w:val="00BA2D77"/>
    <w:rsid w:val="00BA7E3D"/>
    <w:rsid w:val="00BB0AB6"/>
    <w:rsid w:val="00BB1D88"/>
    <w:rsid w:val="00BB31E3"/>
    <w:rsid w:val="00BB3354"/>
    <w:rsid w:val="00BB4426"/>
    <w:rsid w:val="00BB4534"/>
    <w:rsid w:val="00BB4B3B"/>
    <w:rsid w:val="00BB7AE4"/>
    <w:rsid w:val="00BC0775"/>
    <w:rsid w:val="00BC0826"/>
    <w:rsid w:val="00BC1E56"/>
    <w:rsid w:val="00BC449A"/>
    <w:rsid w:val="00BC486F"/>
    <w:rsid w:val="00BC6C8E"/>
    <w:rsid w:val="00BD056E"/>
    <w:rsid w:val="00BD06B1"/>
    <w:rsid w:val="00BD3029"/>
    <w:rsid w:val="00BD49DD"/>
    <w:rsid w:val="00BD5DD6"/>
    <w:rsid w:val="00BD5F35"/>
    <w:rsid w:val="00BD62D2"/>
    <w:rsid w:val="00BD7C92"/>
    <w:rsid w:val="00BE107A"/>
    <w:rsid w:val="00BE28B5"/>
    <w:rsid w:val="00BE758B"/>
    <w:rsid w:val="00BE7FDB"/>
    <w:rsid w:val="00BF3A5C"/>
    <w:rsid w:val="00BF606A"/>
    <w:rsid w:val="00BF6B48"/>
    <w:rsid w:val="00C001E8"/>
    <w:rsid w:val="00C00AB2"/>
    <w:rsid w:val="00C01C6E"/>
    <w:rsid w:val="00C02ACA"/>
    <w:rsid w:val="00C02CAF"/>
    <w:rsid w:val="00C032AC"/>
    <w:rsid w:val="00C057A2"/>
    <w:rsid w:val="00C10138"/>
    <w:rsid w:val="00C108BB"/>
    <w:rsid w:val="00C11097"/>
    <w:rsid w:val="00C11608"/>
    <w:rsid w:val="00C11C2F"/>
    <w:rsid w:val="00C12A12"/>
    <w:rsid w:val="00C16294"/>
    <w:rsid w:val="00C17849"/>
    <w:rsid w:val="00C17BC9"/>
    <w:rsid w:val="00C21226"/>
    <w:rsid w:val="00C220F2"/>
    <w:rsid w:val="00C2244C"/>
    <w:rsid w:val="00C23584"/>
    <w:rsid w:val="00C23EFD"/>
    <w:rsid w:val="00C242FC"/>
    <w:rsid w:val="00C25751"/>
    <w:rsid w:val="00C258D2"/>
    <w:rsid w:val="00C25D08"/>
    <w:rsid w:val="00C26941"/>
    <w:rsid w:val="00C30058"/>
    <w:rsid w:val="00C322DC"/>
    <w:rsid w:val="00C335F2"/>
    <w:rsid w:val="00C341F8"/>
    <w:rsid w:val="00C344B7"/>
    <w:rsid w:val="00C347A1"/>
    <w:rsid w:val="00C40895"/>
    <w:rsid w:val="00C4218D"/>
    <w:rsid w:val="00C427D6"/>
    <w:rsid w:val="00C43980"/>
    <w:rsid w:val="00C441B9"/>
    <w:rsid w:val="00C46C9F"/>
    <w:rsid w:val="00C46D8B"/>
    <w:rsid w:val="00C473C9"/>
    <w:rsid w:val="00C54591"/>
    <w:rsid w:val="00C54D4C"/>
    <w:rsid w:val="00C559EA"/>
    <w:rsid w:val="00C57FAC"/>
    <w:rsid w:val="00C6009B"/>
    <w:rsid w:val="00C6011B"/>
    <w:rsid w:val="00C62657"/>
    <w:rsid w:val="00C64A16"/>
    <w:rsid w:val="00C66138"/>
    <w:rsid w:val="00C66215"/>
    <w:rsid w:val="00C670DD"/>
    <w:rsid w:val="00C67550"/>
    <w:rsid w:val="00C67A72"/>
    <w:rsid w:val="00C701C1"/>
    <w:rsid w:val="00C70B86"/>
    <w:rsid w:val="00C72C97"/>
    <w:rsid w:val="00C74DE8"/>
    <w:rsid w:val="00C75D7F"/>
    <w:rsid w:val="00C76823"/>
    <w:rsid w:val="00C82C6C"/>
    <w:rsid w:val="00C836B0"/>
    <w:rsid w:val="00C84862"/>
    <w:rsid w:val="00C86061"/>
    <w:rsid w:val="00C917B4"/>
    <w:rsid w:val="00C94C11"/>
    <w:rsid w:val="00C96250"/>
    <w:rsid w:val="00CA116A"/>
    <w:rsid w:val="00CA144A"/>
    <w:rsid w:val="00CA3FD3"/>
    <w:rsid w:val="00CA4F0F"/>
    <w:rsid w:val="00CA519F"/>
    <w:rsid w:val="00CA5DA5"/>
    <w:rsid w:val="00CA5F32"/>
    <w:rsid w:val="00CA611B"/>
    <w:rsid w:val="00CA7DD5"/>
    <w:rsid w:val="00CB147D"/>
    <w:rsid w:val="00CB1625"/>
    <w:rsid w:val="00CB5776"/>
    <w:rsid w:val="00CB6556"/>
    <w:rsid w:val="00CB6735"/>
    <w:rsid w:val="00CB6D68"/>
    <w:rsid w:val="00CB75CE"/>
    <w:rsid w:val="00CB76F9"/>
    <w:rsid w:val="00CB7DFE"/>
    <w:rsid w:val="00CC4540"/>
    <w:rsid w:val="00CC6289"/>
    <w:rsid w:val="00CC70A2"/>
    <w:rsid w:val="00CD3142"/>
    <w:rsid w:val="00CD3338"/>
    <w:rsid w:val="00CD400F"/>
    <w:rsid w:val="00CD430F"/>
    <w:rsid w:val="00CD5489"/>
    <w:rsid w:val="00CD56F1"/>
    <w:rsid w:val="00CD6C5D"/>
    <w:rsid w:val="00CD6E26"/>
    <w:rsid w:val="00CD7D73"/>
    <w:rsid w:val="00CE51F3"/>
    <w:rsid w:val="00CE5A37"/>
    <w:rsid w:val="00CE7253"/>
    <w:rsid w:val="00CF169B"/>
    <w:rsid w:val="00CF26B8"/>
    <w:rsid w:val="00CF3350"/>
    <w:rsid w:val="00D025B5"/>
    <w:rsid w:val="00D02AAA"/>
    <w:rsid w:val="00D03878"/>
    <w:rsid w:val="00D06165"/>
    <w:rsid w:val="00D0640E"/>
    <w:rsid w:val="00D07790"/>
    <w:rsid w:val="00D10634"/>
    <w:rsid w:val="00D10E66"/>
    <w:rsid w:val="00D112FB"/>
    <w:rsid w:val="00D11840"/>
    <w:rsid w:val="00D13E26"/>
    <w:rsid w:val="00D1534E"/>
    <w:rsid w:val="00D16E7A"/>
    <w:rsid w:val="00D1705E"/>
    <w:rsid w:val="00D170B2"/>
    <w:rsid w:val="00D1737B"/>
    <w:rsid w:val="00D203BD"/>
    <w:rsid w:val="00D213AD"/>
    <w:rsid w:val="00D223EC"/>
    <w:rsid w:val="00D22D05"/>
    <w:rsid w:val="00D2776C"/>
    <w:rsid w:val="00D27F06"/>
    <w:rsid w:val="00D3145D"/>
    <w:rsid w:val="00D3185E"/>
    <w:rsid w:val="00D319AF"/>
    <w:rsid w:val="00D32AF8"/>
    <w:rsid w:val="00D33F8F"/>
    <w:rsid w:val="00D34E9E"/>
    <w:rsid w:val="00D35B27"/>
    <w:rsid w:val="00D35D5C"/>
    <w:rsid w:val="00D364C7"/>
    <w:rsid w:val="00D36883"/>
    <w:rsid w:val="00D3760B"/>
    <w:rsid w:val="00D40BB5"/>
    <w:rsid w:val="00D40EDE"/>
    <w:rsid w:val="00D41278"/>
    <w:rsid w:val="00D4151D"/>
    <w:rsid w:val="00D41B91"/>
    <w:rsid w:val="00D44579"/>
    <w:rsid w:val="00D457EE"/>
    <w:rsid w:val="00D4787A"/>
    <w:rsid w:val="00D51178"/>
    <w:rsid w:val="00D5149F"/>
    <w:rsid w:val="00D5156F"/>
    <w:rsid w:val="00D528B4"/>
    <w:rsid w:val="00D53623"/>
    <w:rsid w:val="00D53A4D"/>
    <w:rsid w:val="00D54A08"/>
    <w:rsid w:val="00D54BF7"/>
    <w:rsid w:val="00D553E6"/>
    <w:rsid w:val="00D575D9"/>
    <w:rsid w:val="00D63DD1"/>
    <w:rsid w:val="00D64E33"/>
    <w:rsid w:val="00D67648"/>
    <w:rsid w:val="00D70BBC"/>
    <w:rsid w:val="00D719F1"/>
    <w:rsid w:val="00D72196"/>
    <w:rsid w:val="00D721DD"/>
    <w:rsid w:val="00D75393"/>
    <w:rsid w:val="00D77D59"/>
    <w:rsid w:val="00D77F43"/>
    <w:rsid w:val="00D83599"/>
    <w:rsid w:val="00D85939"/>
    <w:rsid w:val="00D907E2"/>
    <w:rsid w:val="00D91612"/>
    <w:rsid w:val="00D91FBA"/>
    <w:rsid w:val="00D92199"/>
    <w:rsid w:val="00DA12E6"/>
    <w:rsid w:val="00DA210E"/>
    <w:rsid w:val="00DA2541"/>
    <w:rsid w:val="00DA38EC"/>
    <w:rsid w:val="00DA3AE2"/>
    <w:rsid w:val="00DA4871"/>
    <w:rsid w:val="00DA4880"/>
    <w:rsid w:val="00DA4FCB"/>
    <w:rsid w:val="00DA5A74"/>
    <w:rsid w:val="00DA615D"/>
    <w:rsid w:val="00DA66E1"/>
    <w:rsid w:val="00DA6737"/>
    <w:rsid w:val="00DA759B"/>
    <w:rsid w:val="00DA7EEF"/>
    <w:rsid w:val="00DB1231"/>
    <w:rsid w:val="00DB1632"/>
    <w:rsid w:val="00DB31DA"/>
    <w:rsid w:val="00DB4286"/>
    <w:rsid w:val="00DB6BAB"/>
    <w:rsid w:val="00DC0599"/>
    <w:rsid w:val="00DC0BC9"/>
    <w:rsid w:val="00DC11A6"/>
    <w:rsid w:val="00DC1428"/>
    <w:rsid w:val="00DC59C0"/>
    <w:rsid w:val="00DC718D"/>
    <w:rsid w:val="00DD1346"/>
    <w:rsid w:val="00DD1A9F"/>
    <w:rsid w:val="00DD1FD0"/>
    <w:rsid w:val="00DD25BB"/>
    <w:rsid w:val="00DD2A91"/>
    <w:rsid w:val="00DD31C2"/>
    <w:rsid w:val="00DD3638"/>
    <w:rsid w:val="00DD533E"/>
    <w:rsid w:val="00DD6F54"/>
    <w:rsid w:val="00DD7C1F"/>
    <w:rsid w:val="00DE4419"/>
    <w:rsid w:val="00DE4F38"/>
    <w:rsid w:val="00DE5E9B"/>
    <w:rsid w:val="00DE61E5"/>
    <w:rsid w:val="00DE75D9"/>
    <w:rsid w:val="00DF0689"/>
    <w:rsid w:val="00DF0810"/>
    <w:rsid w:val="00DF0F38"/>
    <w:rsid w:val="00DF132A"/>
    <w:rsid w:val="00DF3358"/>
    <w:rsid w:val="00DF4D67"/>
    <w:rsid w:val="00DF5130"/>
    <w:rsid w:val="00DF5AEA"/>
    <w:rsid w:val="00DF5B48"/>
    <w:rsid w:val="00DF5EAD"/>
    <w:rsid w:val="00DF66CC"/>
    <w:rsid w:val="00DF6AFE"/>
    <w:rsid w:val="00DF721C"/>
    <w:rsid w:val="00E02F9A"/>
    <w:rsid w:val="00E04DB2"/>
    <w:rsid w:val="00E06A1F"/>
    <w:rsid w:val="00E07777"/>
    <w:rsid w:val="00E10EB6"/>
    <w:rsid w:val="00E10F23"/>
    <w:rsid w:val="00E117E0"/>
    <w:rsid w:val="00E11B06"/>
    <w:rsid w:val="00E1271B"/>
    <w:rsid w:val="00E14862"/>
    <w:rsid w:val="00E14D37"/>
    <w:rsid w:val="00E15001"/>
    <w:rsid w:val="00E1670A"/>
    <w:rsid w:val="00E16D60"/>
    <w:rsid w:val="00E178F0"/>
    <w:rsid w:val="00E17A49"/>
    <w:rsid w:val="00E22047"/>
    <w:rsid w:val="00E2376C"/>
    <w:rsid w:val="00E24078"/>
    <w:rsid w:val="00E24491"/>
    <w:rsid w:val="00E25A8C"/>
    <w:rsid w:val="00E271F3"/>
    <w:rsid w:val="00E3175D"/>
    <w:rsid w:val="00E31C24"/>
    <w:rsid w:val="00E3316F"/>
    <w:rsid w:val="00E331FB"/>
    <w:rsid w:val="00E34450"/>
    <w:rsid w:val="00E354F6"/>
    <w:rsid w:val="00E40509"/>
    <w:rsid w:val="00E43883"/>
    <w:rsid w:val="00E4455E"/>
    <w:rsid w:val="00E44634"/>
    <w:rsid w:val="00E449D4"/>
    <w:rsid w:val="00E44BDA"/>
    <w:rsid w:val="00E45F46"/>
    <w:rsid w:val="00E50777"/>
    <w:rsid w:val="00E50A0F"/>
    <w:rsid w:val="00E50FCF"/>
    <w:rsid w:val="00E514A6"/>
    <w:rsid w:val="00E5185F"/>
    <w:rsid w:val="00E52037"/>
    <w:rsid w:val="00E5246C"/>
    <w:rsid w:val="00E53070"/>
    <w:rsid w:val="00E53C23"/>
    <w:rsid w:val="00E563E9"/>
    <w:rsid w:val="00E57E44"/>
    <w:rsid w:val="00E60F6F"/>
    <w:rsid w:val="00E615A9"/>
    <w:rsid w:val="00E6240E"/>
    <w:rsid w:val="00E6324D"/>
    <w:rsid w:val="00E6339A"/>
    <w:rsid w:val="00E63C8E"/>
    <w:rsid w:val="00E64C2A"/>
    <w:rsid w:val="00E64C59"/>
    <w:rsid w:val="00E64D96"/>
    <w:rsid w:val="00E6569B"/>
    <w:rsid w:val="00E6611C"/>
    <w:rsid w:val="00E6632A"/>
    <w:rsid w:val="00E66F70"/>
    <w:rsid w:val="00E71A5D"/>
    <w:rsid w:val="00E74E88"/>
    <w:rsid w:val="00E836CE"/>
    <w:rsid w:val="00E84D8F"/>
    <w:rsid w:val="00E84DCA"/>
    <w:rsid w:val="00E8641E"/>
    <w:rsid w:val="00E86A35"/>
    <w:rsid w:val="00E87276"/>
    <w:rsid w:val="00E87385"/>
    <w:rsid w:val="00E87C01"/>
    <w:rsid w:val="00E903EB"/>
    <w:rsid w:val="00E9400A"/>
    <w:rsid w:val="00E941B2"/>
    <w:rsid w:val="00E941EE"/>
    <w:rsid w:val="00E947CA"/>
    <w:rsid w:val="00E97F33"/>
    <w:rsid w:val="00EA05E3"/>
    <w:rsid w:val="00EA1048"/>
    <w:rsid w:val="00EA47D5"/>
    <w:rsid w:val="00EA6E4B"/>
    <w:rsid w:val="00EA70B5"/>
    <w:rsid w:val="00EA7A14"/>
    <w:rsid w:val="00EB0B93"/>
    <w:rsid w:val="00EB21EB"/>
    <w:rsid w:val="00EB34D1"/>
    <w:rsid w:val="00EB5F07"/>
    <w:rsid w:val="00EB642D"/>
    <w:rsid w:val="00EC09D7"/>
    <w:rsid w:val="00EC14B8"/>
    <w:rsid w:val="00EC1ED2"/>
    <w:rsid w:val="00EC48ED"/>
    <w:rsid w:val="00EC5E93"/>
    <w:rsid w:val="00EC6CD8"/>
    <w:rsid w:val="00ED21E6"/>
    <w:rsid w:val="00ED2F49"/>
    <w:rsid w:val="00ED31DC"/>
    <w:rsid w:val="00ED33BF"/>
    <w:rsid w:val="00ED34E7"/>
    <w:rsid w:val="00ED4C1C"/>
    <w:rsid w:val="00ED5B54"/>
    <w:rsid w:val="00ED6F9E"/>
    <w:rsid w:val="00ED7BBD"/>
    <w:rsid w:val="00EE037E"/>
    <w:rsid w:val="00EE22F3"/>
    <w:rsid w:val="00EE465F"/>
    <w:rsid w:val="00EE63DD"/>
    <w:rsid w:val="00EE650E"/>
    <w:rsid w:val="00EF1759"/>
    <w:rsid w:val="00EF1827"/>
    <w:rsid w:val="00EF47D1"/>
    <w:rsid w:val="00EF698F"/>
    <w:rsid w:val="00EF7D90"/>
    <w:rsid w:val="00EF7FBC"/>
    <w:rsid w:val="00F005DD"/>
    <w:rsid w:val="00F0072F"/>
    <w:rsid w:val="00F00C18"/>
    <w:rsid w:val="00F00EB5"/>
    <w:rsid w:val="00F02E4A"/>
    <w:rsid w:val="00F05C1C"/>
    <w:rsid w:val="00F06087"/>
    <w:rsid w:val="00F0664A"/>
    <w:rsid w:val="00F103AB"/>
    <w:rsid w:val="00F10982"/>
    <w:rsid w:val="00F10BF9"/>
    <w:rsid w:val="00F11D68"/>
    <w:rsid w:val="00F13122"/>
    <w:rsid w:val="00F14240"/>
    <w:rsid w:val="00F16685"/>
    <w:rsid w:val="00F218A1"/>
    <w:rsid w:val="00F21E82"/>
    <w:rsid w:val="00F22558"/>
    <w:rsid w:val="00F22CBE"/>
    <w:rsid w:val="00F24918"/>
    <w:rsid w:val="00F2660A"/>
    <w:rsid w:val="00F26B8E"/>
    <w:rsid w:val="00F276F0"/>
    <w:rsid w:val="00F27811"/>
    <w:rsid w:val="00F30C70"/>
    <w:rsid w:val="00F32D49"/>
    <w:rsid w:val="00F34BD8"/>
    <w:rsid w:val="00F34E57"/>
    <w:rsid w:val="00F41110"/>
    <w:rsid w:val="00F416DE"/>
    <w:rsid w:val="00F4182A"/>
    <w:rsid w:val="00F42D4F"/>
    <w:rsid w:val="00F440EA"/>
    <w:rsid w:val="00F4582F"/>
    <w:rsid w:val="00F45D52"/>
    <w:rsid w:val="00F47FF5"/>
    <w:rsid w:val="00F50C03"/>
    <w:rsid w:val="00F51510"/>
    <w:rsid w:val="00F5284F"/>
    <w:rsid w:val="00F53A3F"/>
    <w:rsid w:val="00F5462E"/>
    <w:rsid w:val="00F562B9"/>
    <w:rsid w:val="00F56AA4"/>
    <w:rsid w:val="00F5736B"/>
    <w:rsid w:val="00F611EB"/>
    <w:rsid w:val="00F615EA"/>
    <w:rsid w:val="00F67625"/>
    <w:rsid w:val="00F72B6A"/>
    <w:rsid w:val="00F81E10"/>
    <w:rsid w:val="00F8374D"/>
    <w:rsid w:val="00F84210"/>
    <w:rsid w:val="00F860E8"/>
    <w:rsid w:val="00F86934"/>
    <w:rsid w:val="00F86AA4"/>
    <w:rsid w:val="00F919C5"/>
    <w:rsid w:val="00F91DE6"/>
    <w:rsid w:val="00F925D1"/>
    <w:rsid w:val="00F93BBA"/>
    <w:rsid w:val="00F96FE7"/>
    <w:rsid w:val="00F9709C"/>
    <w:rsid w:val="00FA0A64"/>
    <w:rsid w:val="00FA0B13"/>
    <w:rsid w:val="00FA2F43"/>
    <w:rsid w:val="00FA45EA"/>
    <w:rsid w:val="00FA5DEF"/>
    <w:rsid w:val="00FA6599"/>
    <w:rsid w:val="00FA6963"/>
    <w:rsid w:val="00FB134D"/>
    <w:rsid w:val="00FB13B2"/>
    <w:rsid w:val="00FB2F91"/>
    <w:rsid w:val="00FB3AF0"/>
    <w:rsid w:val="00FB659D"/>
    <w:rsid w:val="00FC11C6"/>
    <w:rsid w:val="00FC19B4"/>
    <w:rsid w:val="00FC21D4"/>
    <w:rsid w:val="00FC2854"/>
    <w:rsid w:val="00FC2CF1"/>
    <w:rsid w:val="00FC36D9"/>
    <w:rsid w:val="00FC3E48"/>
    <w:rsid w:val="00FC449A"/>
    <w:rsid w:val="00FC5B86"/>
    <w:rsid w:val="00FC6286"/>
    <w:rsid w:val="00FC733E"/>
    <w:rsid w:val="00FD0842"/>
    <w:rsid w:val="00FD1F89"/>
    <w:rsid w:val="00FD2008"/>
    <w:rsid w:val="00FD23C1"/>
    <w:rsid w:val="00FD23FD"/>
    <w:rsid w:val="00FD5E4C"/>
    <w:rsid w:val="00FE026D"/>
    <w:rsid w:val="00FE0D33"/>
    <w:rsid w:val="00FE1CAE"/>
    <w:rsid w:val="00FE1D3F"/>
    <w:rsid w:val="00FE1F71"/>
    <w:rsid w:val="00FE2021"/>
    <w:rsid w:val="00FE3039"/>
    <w:rsid w:val="00FE3A4C"/>
    <w:rsid w:val="00FE47BE"/>
    <w:rsid w:val="00FE4864"/>
    <w:rsid w:val="00FE531A"/>
    <w:rsid w:val="00FE666D"/>
    <w:rsid w:val="00FE7E49"/>
    <w:rsid w:val="00FF09E0"/>
    <w:rsid w:val="00FF4CD8"/>
    <w:rsid w:val="00FF6C88"/>
    <w:rsid w:val="00FF70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5C980AF-4621-4E1E-B9A4-E6C51A0BD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25D3"/>
    <w:pPr>
      <w:spacing w:after="0" w:line="240" w:lineRule="auto"/>
    </w:pPr>
  </w:style>
  <w:style w:type="paragraph" w:styleId="Heading1">
    <w:name w:val="heading 1"/>
    <w:basedOn w:val="Normal"/>
    <w:next w:val="Normal"/>
    <w:link w:val="Heading1Char"/>
    <w:autoRedefine/>
    <w:uiPriority w:val="9"/>
    <w:qFormat/>
    <w:rsid w:val="009A7808"/>
    <w:pPr>
      <w:keepNext/>
      <w:keepLines/>
      <w:spacing w:after="240"/>
      <w:outlineLvl w:val="0"/>
    </w:pPr>
    <w:rPr>
      <w:rFonts w:asciiTheme="majorHAnsi" w:eastAsiaTheme="majorEastAsia" w:hAnsiTheme="majorHAnsi" w:cstheme="majorBidi"/>
      <w:b/>
      <w:color w:val="DD8047" w:themeColor="accent2"/>
      <w:sz w:val="28"/>
      <w:szCs w:val="32"/>
    </w:rPr>
  </w:style>
  <w:style w:type="paragraph" w:styleId="Heading2">
    <w:name w:val="heading 2"/>
    <w:basedOn w:val="E-mailSignature"/>
    <w:next w:val="Normal"/>
    <w:link w:val="Heading2Char"/>
    <w:uiPriority w:val="9"/>
    <w:unhideWhenUsed/>
    <w:qFormat/>
    <w:rsid w:val="00620BE5"/>
    <w:pPr>
      <w:keepNext/>
      <w:keepLines/>
      <w:pBdr>
        <w:top w:val="single" w:sz="12" w:space="12" w:color="DD8047" w:themeColor="accent2"/>
        <w:bottom w:val="single" w:sz="4" w:space="0" w:color="DD8047" w:themeColor="accent2"/>
      </w:pBdr>
      <w:shd w:val="clear" w:color="auto" w:fill="F8E5DA" w:themeFill="accent2" w:themeFillTint="33"/>
      <w:spacing w:before="240" w:after="120" w:line="360" w:lineRule="auto"/>
      <w:contextualSpacing/>
      <w:outlineLvl w:val="1"/>
    </w:pPr>
    <w:rPr>
      <w:rFonts w:asciiTheme="majorHAnsi" w:eastAsiaTheme="majorEastAsia" w:hAnsiTheme="majorHAnsi" w:cstheme="majorBidi"/>
      <w:b/>
      <w:color w:val="DD8047" w:themeColor="accent2"/>
      <w:sz w:val="24"/>
      <w:szCs w:val="26"/>
    </w:rPr>
  </w:style>
  <w:style w:type="paragraph" w:styleId="Heading3">
    <w:name w:val="heading 3"/>
    <w:basedOn w:val="Normal"/>
    <w:next w:val="Normal"/>
    <w:link w:val="Heading3Char"/>
    <w:uiPriority w:val="9"/>
    <w:unhideWhenUsed/>
    <w:qFormat/>
    <w:rsid w:val="00263D9F"/>
    <w:pPr>
      <w:keepNext/>
      <w:keepLines/>
      <w:spacing w:after="60"/>
      <w:outlineLvl w:val="2"/>
    </w:pPr>
    <w:rPr>
      <w:rFonts w:asciiTheme="majorHAnsi" w:eastAsiaTheme="majorEastAsia" w:hAnsiTheme="majorHAnsi" w:cstheme="majorBidi"/>
      <w:b/>
      <w:color w:val="548AB7" w:themeColor="accent1" w:themeShade="BF"/>
      <w:sz w:val="24"/>
      <w:szCs w:val="24"/>
    </w:rPr>
  </w:style>
  <w:style w:type="paragraph" w:styleId="Heading4">
    <w:name w:val="heading 4"/>
    <w:basedOn w:val="Normal"/>
    <w:next w:val="Normal"/>
    <w:link w:val="Heading4Char"/>
    <w:uiPriority w:val="9"/>
    <w:unhideWhenUsed/>
    <w:qFormat/>
    <w:rsid w:val="00472D81"/>
    <w:pPr>
      <w:keepNext/>
      <w:keepLines/>
      <w:spacing w:after="60"/>
      <w:outlineLvl w:val="3"/>
    </w:pPr>
    <w:rPr>
      <w:rFonts w:asciiTheme="majorHAnsi" w:eastAsiaTheme="majorEastAsia" w:hAnsiTheme="majorHAnsi" w:cstheme="majorBidi"/>
      <w:iCs/>
      <w:color w:val="80865A" w:themeColor="accent3" w:themeShade="BF"/>
    </w:rPr>
  </w:style>
  <w:style w:type="paragraph" w:styleId="Heading5">
    <w:name w:val="heading 5"/>
    <w:basedOn w:val="Normal"/>
    <w:next w:val="Normal"/>
    <w:link w:val="Heading5Char"/>
    <w:uiPriority w:val="9"/>
    <w:unhideWhenUsed/>
    <w:qFormat/>
    <w:rsid w:val="009A7808"/>
    <w:pPr>
      <w:keepNext/>
      <w:keepLines/>
      <w:spacing w:after="60"/>
      <w:outlineLvl w:val="4"/>
    </w:pPr>
    <w:rPr>
      <w:rFonts w:asciiTheme="majorHAnsi" w:eastAsiaTheme="majorEastAsia" w:hAnsiTheme="majorHAnsi" w:cstheme="majorBidi"/>
      <w:i/>
      <w:color w:val="80865A" w:themeColor="accent3" w:themeShade="BF"/>
    </w:rPr>
  </w:style>
  <w:style w:type="paragraph" w:styleId="Heading6">
    <w:name w:val="heading 6"/>
    <w:aliases w:val="in brief end"/>
    <w:basedOn w:val="Normal"/>
    <w:next w:val="Normal"/>
    <w:link w:val="Heading6Char"/>
    <w:uiPriority w:val="9"/>
    <w:unhideWhenUsed/>
    <w:rsid w:val="00122D2F"/>
    <w:pPr>
      <w:keepNext/>
      <w:keepLines/>
      <w:pBdr>
        <w:bottom w:val="single" w:sz="4" w:space="12" w:color="DD8047" w:themeColor="accent2"/>
      </w:pBdr>
      <w:outlineLvl w:val="5"/>
    </w:pPr>
    <w:rPr>
      <w:rFonts w:asciiTheme="majorHAnsi" w:eastAsiaTheme="majorEastAsia" w:hAnsiTheme="majorHAnsi" w:cstheme="majorBidi"/>
    </w:rPr>
  </w:style>
  <w:style w:type="paragraph" w:styleId="Heading7">
    <w:name w:val="heading 7"/>
    <w:basedOn w:val="Normal"/>
    <w:next w:val="Normal"/>
    <w:link w:val="Heading7Char"/>
    <w:uiPriority w:val="9"/>
    <w:unhideWhenUsed/>
    <w:rsid w:val="00B1135E"/>
    <w:pPr>
      <w:keepNext/>
      <w:keepLines/>
      <w:spacing w:before="40"/>
      <w:outlineLvl w:val="6"/>
    </w:pPr>
    <w:rPr>
      <w:rFonts w:asciiTheme="majorHAnsi" w:eastAsiaTheme="majorEastAsia" w:hAnsiTheme="majorHAnsi" w:cstheme="majorBidi"/>
      <w:i/>
      <w:iCs/>
      <w:color w:val="345C7D" w:themeColor="accent1" w:themeShade="7F"/>
    </w:rPr>
  </w:style>
  <w:style w:type="paragraph" w:styleId="Heading8">
    <w:name w:val="heading 8"/>
    <w:basedOn w:val="Normal"/>
    <w:next w:val="Normal"/>
    <w:link w:val="Heading8Char"/>
    <w:uiPriority w:val="9"/>
    <w:unhideWhenUsed/>
    <w:rsid w:val="00E50FC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rsid w:val="00E50FC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7808"/>
    <w:rPr>
      <w:rFonts w:asciiTheme="majorHAnsi" w:eastAsiaTheme="majorEastAsia" w:hAnsiTheme="majorHAnsi" w:cstheme="majorBidi"/>
      <w:b/>
      <w:color w:val="DD8047" w:themeColor="accent2"/>
      <w:sz w:val="28"/>
      <w:szCs w:val="32"/>
    </w:rPr>
  </w:style>
  <w:style w:type="character" w:customStyle="1" w:styleId="Heading2Char">
    <w:name w:val="Heading 2 Char"/>
    <w:basedOn w:val="DefaultParagraphFont"/>
    <w:link w:val="Heading2"/>
    <w:uiPriority w:val="9"/>
    <w:rsid w:val="00620BE5"/>
    <w:rPr>
      <w:rFonts w:asciiTheme="majorHAnsi" w:eastAsiaTheme="majorEastAsia" w:hAnsiTheme="majorHAnsi" w:cstheme="majorBidi"/>
      <w:b/>
      <w:color w:val="DD8047" w:themeColor="accent2"/>
      <w:sz w:val="24"/>
      <w:szCs w:val="26"/>
      <w:shd w:val="clear" w:color="auto" w:fill="F8E5DA" w:themeFill="accent2" w:themeFillTint="33"/>
    </w:rPr>
  </w:style>
  <w:style w:type="character" w:customStyle="1" w:styleId="Heading3Char">
    <w:name w:val="Heading 3 Char"/>
    <w:basedOn w:val="DefaultParagraphFont"/>
    <w:link w:val="Heading3"/>
    <w:uiPriority w:val="9"/>
    <w:rsid w:val="00263D9F"/>
    <w:rPr>
      <w:rFonts w:asciiTheme="majorHAnsi" w:eastAsiaTheme="majorEastAsia" w:hAnsiTheme="majorHAnsi" w:cstheme="majorBidi"/>
      <w:b/>
      <w:color w:val="548AB7" w:themeColor="accent1" w:themeShade="BF"/>
      <w:sz w:val="24"/>
      <w:szCs w:val="24"/>
    </w:rPr>
  </w:style>
  <w:style w:type="character" w:customStyle="1" w:styleId="Heading4Char">
    <w:name w:val="Heading 4 Char"/>
    <w:basedOn w:val="DefaultParagraphFont"/>
    <w:link w:val="Heading4"/>
    <w:uiPriority w:val="9"/>
    <w:rsid w:val="00472D81"/>
    <w:rPr>
      <w:rFonts w:asciiTheme="majorHAnsi" w:eastAsiaTheme="majorEastAsia" w:hAnsiTheme="majorHAnsi" w:cstheme="majorBidi"/>
      <w:iCs/>
      <w:color w:val="80865A" w:themeColor="accent3" w:themeShade="BF"/>
    </w:rPr>
  </w:style>
  <w:style w:type="character" w:customStyle="1" w:styleId="Heading5Char">
    <w:name w:val="Heading 5 Char"/>
    <w:basedOn w:val="DefaultParagraphFont"/>
    <w:link w:val="Heading5"/>
    <w:uiPriority w:val="9"/>
    <w:rsid w:val="009A7808"/>
    <w:rPr>
      <w:rFonts w:asciiTheme="majorHAnsi" w:eastAsiaTheme="majorEastAsia" w:hAnsiTheme="majorHAnsi" w:cstheme="majorBidi"/>
      <w:i/>
      <w:color w:val="80865A" w:themeColor="accent3" w:themeShade="BF"/>
    </w:rPr>
  </w:style>
  <w:style w:type="table" w:styleId="TableGrid">
    <w:name w:val="Table Grid"/>
    <w:basedOn w:val="TableNormal"/>
    <w:uiPriority w:val="59"/>
    <w:rsid w:val="00ED33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F3621"/>
    <w:pPr>
      <w:numPr>
        <w:numId w:val="1"/>
      </w:numPr>
      <w:tabs>
        <w:tab w:val="left" w:pos="567"/>
      </w:tabs>
      <w:ind w:left="567" w:hanging="567"/>
      <w:contextualSpacing/>
    </w:pPr>
    <w:rPr>
      <w:rFonts w:ascii="Century Gothic" w:hAnsi="Century Gothic" w:cs="Arial"/>
    </w:rPr>
  </w:style>
  <w:style w:type="character" w:styleId="Hyperlink">
    <w:name w:val="Hyperlink"/>
    <w:basedOn w:val="DefaultParagraphFont"/>
    <w:uiPriority w:val="99"/>
    <w:unhideWhenUsed/>
    <w:qFormat/>
    <w:rsid w:val="00176D5C"/>
    <w:rPr>
      <w:i w:val="0"/>
      <w:color w:val="DD8047" w:themeColor="accent2"/>
      <w:u w:val="single"/>
    </w:rPr>
  </w:style>
  <w:style w:type="paragraph" w:styleId="Header">
    <w:name w:val="header"/>
    <w:basedOn w:val="Normal"/>
    <w:link w:val="HeaderChar"/>
    <w:uiPriority w:val="99"/>
    <w:unhideWhenUsed/>
    <w:rsid w:val="00B87609"/>
    <w:pPr>
      <w:tabs>
        <w:tab w:val="center" w:pos="4513"/>
        <w:tab w:val="right" w:pos="9026"/>
      </w:tabs>
    </w:pPr>
  </w:style>
  <w:style w:type="character" w:customStyle="1" w:styleId="HeaderChar">
    <w:name w:val="Header Char"/>
    <w:basedOn w:val="DefaultParagraphFont"/>
    <w:link w:val="Header"/>
    <w:uiPriority w:val="99"/>
    <w:rsid w:val="00B87609"/>
  </w:style>
  <w:style w:type="paragraph" w:styleId="Footer">
    <w:name w:val="footer"/>
    <w:basedOn w:val="Normal"/>
    <w:link w:val="FooterChar"/>
    <w:uiPriority w:val="99"/>
    <w:unhideWhenUsed/>
    <w:rsid w:val="00B87609"/>
    <w:pPr>
      <w:tabs>
        <w:tab w:val="center" w:pos="4513"/>
        <w:tab w:val="right" w:pos="9026"/>
      </w:tabs>
    </w:pPr>
  </w:style>
  <w:style w:type="character" w:customStyle="1" w:styleId="FooterChar">
    <w:name w:val="Footer Char"/>
    <w:basedOn w:val="DefaultParagraphFont"/>
    <w:link w:val="Footer"/>
    <w:uiPriority w:val="99"/>
    <w:rsid w:val="00B87609"/>
  </w:style>
  <w:style w:type="character" w:styleId="Strong">
    <w:name w:val="Strong"/>
    <w:basedOn w:val="DefaultParagraphFont"/>
    <w:uiPriority w:val="22"/>
    <w:rsid w:val="000F0D7F"/>
    <w:rPr>
      <w:b/>
      <w:bCs/>
    </w:rPr>
  </w:style>
  <w:style w:type="character" w:styleId="IntenseEmphasis">
    <w:name w:val="Intense Emphasis"/>
    <w:basedOn w:val="DefaultParagraphFont"/>
    <w:uiPriority w:val="21"/>
    <w:rsid w:val="00C72C97"/>
    <w:rPr>
      <w:i/>
      <w:iCs/>
      <w:color w:val="94B6D2" w:themeColor="accent1"/>
    </w:rPr>
  </w:style>
  <w:style w:type="paragraph" w:styleId="TOCHeading">
    <w:name w:val="TOC Heading"/>
    <w:basedOn w:val="Heading1"/>
    <w:next w:val="Normal"/>
    <w:uiPriority w:val="39"/>
    <w:unhideWhenUsed/>
    <w:rsid w:val="006E31E2"/>
    <w:pPr>
      <w:spacing w:line="259" w:lineRule="auto"/>
      <w:outlineLvl w:val="9"/>
    </w:pPr>
    <w:rPr>
      <w:lang w:val="en-US"/>
    </w:rPr>
  </w:style>
  <w:style w:type="paragraph" w:styleId="TOC1">
    <w:name w:val="toc 1"/>
    <w:basedOn w:val="Normal"/>
    <w:next w:val="Normal"/>
    <w:autoRedefine/>
    <w:uiPriority w:val="39"/>
    <w:unhideWhenUsed/>
    <w:rsid w:val="00284365"/>
    <w:pPr>
      <w:tabs>
        <w:tab w:val="right" w:pos="9911"/>
      </w:tabs>
      <w:spacing w:before="240" w:after="60"/>
    </w:pPr>
    <w:rPr>
      <w:b/>
      <w:color w:val="DD8047" w:themeColor="accent2"/>
      <w:sz w:val="24"/>
    </w:rPr>
  </w:style>
  <w:style w:type="paragraph" w:styleId="TOC2">
    <w:name w:val="toc 2"/>
    <w:basedOn w:val="Normal"/>
    <w:next w:val="Normal"/>
    <w:autoRedefine/>
    <w:uiPriority w:val="39"/>
    <w:unhideWhenUsed/>
    <w:rsid w:val="00B23484"/>
    <w:pPr>
      <w:spacing w:after="40"/>
      <w:ind w:left="221"/>
    </w:pPr>
    <w:rPr>
      <w:color w:val="80865A" w:themeColor="accent3" w:themeShade="BF"/>
    </w:rPr>
  </w:style>
  <w:style w:type="paragraph" w:styleId="TOC3">
    <w:name w:val="toc 3"/>
    <w:basedOn w:val="Normal"/>
    <w:next w:val="Normal"/>
    <w:autoRedefine/>
    <w:uiPriority w:val="39"/>
    <w:unhideWhenUsed/>
    <w:rsid w:val="00086F85"/>
    <w:pPr>
      <w:spacing w:after="60"/>
      <w:ind w:left="442"/>
    </w:pPr>
  </w:style>
  <w:style w:type="character" w:styleId="Emphasis">
    <w:name w:val="Emphasis"/>
    <w:basedOn w:val="DefaultParagraphFont"/>
    <w:uiPriority w:val="20"/>
    <w:rsid w:val="008E2331"/>
    <w:rPr>
      <w:i/>
      <w:iCs/>
    </w:rPr>
  </w:style>
  <w:style w:type="table" w:customStyle="1" w:styleId="GridTable1Light-Accent21">
    <w:name w:val="Grid Table 1 Light - Accent 21"/>
    <w:basedOn w:val="TableNormal"/>
    <w:uiPriority w:val="46"/>
    <w:rsid w:val="00F0072F"/>
    <w:pPr>
      <w:spacing w:after="0" w:line="240" w:lineRule="auto"/>
    </w:pPr>
    <w:rPr>
      <w:rFonts w:eastAsiaTheme="minorEastAsia"/>
      <w:kern w:val="22"/>
      <w:lang w:val="en-US" w:eastAsia="ja-JP"/>
      <w14:ligatures w14:val="standard"/>
    </w:rPr>
    <w:tblPr>
      <w:tblStyleRowBandSize w:val="1"/>
      <w:tblStyleColBandSize w:val="1"/>
      <w:tblBorders>
        <w:top w:val="single" w:sz="4" w:space="0" w:color="F1CBB5" w:themeColor="accent2" w:themeTint="66"/>
        <w:left w:val="single" w:sz="4" w:space="0" w:color="F1CBB5" w:themeColor="accent2" w:themeTint="66"/>
        <w:bottom w:val="single" w:sz="4" w:space="0" w:color="F1CBB5" w:themeColor="accent2" w:themeTint="66"/>
        <w:right w:val="single" w:sz="4" w:space="0" w:color="F1CBB5" w:themeColor="accent2" w:themeTint="66"/>
        <w:insideH w:val="single" w:sz="4" w:space="0" w:color="F1CBB5" w:themeColor="accent2" w:themeTint="66"/>
        <w:insideV w:val="single" w:sz="4" w:space="0" w:color="F1CBB5" w:themeColor="accent2" w:themeTint="66"/>
      </w:tblBorders>
    </w:tblPr>
    <w:tblStylePr w:type="firstRow">
      <w:rPr>
        <w:b/>
        <w:bCs/>
      </w:rPr>
      <w:tblPr/>
      <w:tcPr>
        <w:tcBorders>
          <w:bottom w:val="single" w:sz="12" w:space="0" w:color="EAB290" w:themeColor="accent2" w:themeTint="99"/>
        </w:tcBorders>
      </w:tcPr>
    </w:tblStylePr>
    <w:tblStylePr w:type="lastRow">
      <w:rPr>
        <w:b/>
        <w:bCs/>
      </w:rPr>
      <w:tblPr/>
      <w:tcPr>
        <w:tcBorders>
          <w:top w:val="double" w:sz="2" w:space="0" w:color="EAB290" w:themeColor="accent2" w:themeTint="99"/>
        </w:tcBorders>
      </w:tcPr>
    </w:tblStylePr>
    <w:tblStylePr w:type="firstCol">
      <w:rPr>
        <w:b/>
        <w:bCs/>
      </w:rPr>
    </w:tblStylePr>
    <w:tblStylePr w:type="lastCol">
      <w:rPr>
        <w:b/>
        <w:bCs/>
      </w:rPr>
    </w:tblStylePr>
  </w:style>
  <w:style w:type="table" w:customStyle="1" w:styleId="TableGridLight1">
    <w:name w:val="Table Grid Light1"/>
    <w:basedOn w:val="TableNormal"/>
    <w:uiPriority w:val="40"/>
    <w:rsid w:val="00F0072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le">
    <w:name w:val="Title"/>
    <w:basedOn w:val="Normal"/>
    <w:next w:val="Normal"/>
    <w:link w:val="TitleChar"/>
    <w:uiPriority w:val="10"/>
    <w:rsid w:val="0063254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2543"/>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unhideWhenUsed/>
    <w:rsid w:val="00275A54"/>
    <w:rPr>
      <w:color w:val="7B3C17" w:themeColor="accent2" w:themeShade="80"/>
      <w:u w:val="single"/>
    </w:rPr>
  </w:style>
  <w:style w:type="paragraph" w:styleId="NoSpacing">
    <w:name w:val="No Spacing"/>
    <w:aliases w:val="para heading"/>
    <w:link w:val="NoSpacingChar"/>
    <w:uiPriority w:val="1"/>
    <w:qFormat/>
    <w:rsid w:val="00CE5A37"/>
    <w:pPr>
      <w:spacing w:after="60" w:line="240" w:lineRule="auto"/>
      <w:contextualSpacing/>
    </w:pPr>
    <w:rPr>
      <w:rFonts w:eastAsiaTheme="minorEastAsia"/>
      <w:i/>
      <w:color w:val="548AB7" w:themeColor="accent1" w:themeShade="BF"/>
      <w:lang w:val="en-US"/>
    </w:rPr>
  </w:style>
  <w:style w:type="character" w:customStyle="1" w:styleId="NoSpacingChar">
    <w:name w:val="No Spacing Char"/>
    <w:aliases w:val="para heading Char"/>
    <w:basedOn w:val="DefaultParagraphFont"/>
    <w:link w:val="NoSpacing"/>
    <w:uiPriority w:val="1"/>
    <w:rsid w:val="00CE5A37"/>
    <w:rPr>
      <w:rFonts w:eastAsiaTheme="minorEastAsia"/>
      <w:i/>
      <w:color w:val="548AB7" w:themeColor="accent1" w:themeShade="BF"/>
      <w:lang w:val="en-US"/>
    </w:rPr>
  </w:style>
  <w:style w:type="paragraph" w:styleId="IntenseQuote">
    <w:name w:val="Intense Quote"/>
    <w:basedOn w:val="Normal"/>
    <w:next w:val="Normal"/>
    <w:link w:val="IntenseQuoteChar"/>
    <w:uiPriority w:val="30"/>
    <w:rsid w:val="004A6AEE"/>
    <w:pPr>
      <w:pBdr>
        <w:top w:val="single" w:sz="4" w:space="10" w:color="94B6D2" w:themeColor="accent1"/>
        <w:bottom w:val="single" w:sz="4" w:space="10" w:color="94B6D2" w:themeColor="accent1"/>
      </w:pBdr>
      <w:spacing w:before="360" w:after="360"/>
      <w:ind w:left="864" w:right="864"/>
      <w:jc w:val="center"/>
    </w:pPr>
    <w:rPr>
      <w:i/>
      <w:iCs/>
      <w:color w:val="94B6D2" w:themeColor="accent1"/>
    </w:rPr>
  </w:style>
  <w:style w:type="character" w:customStyle="1" w:styleId="IntenseQuoteChar">
    <w:name w:val="Intense Quote Char"/>
    <w:basedOn w:val="DefaultParagraphFont"/>
    <w:link w:val="IntenseQuote"/>
    <w:uiPriority w:val="30"/>
    <w:rsid w:val="004A6AEE"/>
    <w:rPr>
      <w:i/>
      <w:iCs/>
      <w:color w:val="94B6D2" w:themeColor="accent1"/>
    </w:rPr>
  </w:style>
  <w:style w:type="character" w:customStyle="1" w:styleId="Heading6Char">
    <w:name w:val="Heading 6 Char"/>
    <w:aliases w:val="in brief end Char"/>
    <w:basedOn w:val="DefaultParagraphFont"/>
    <w:link w:val="Heading6"/>
    <w:uiPriority w:val="9"/>
    <w:rsid w:val="00122D2F"/>
    <w:rPr>
      <w:rFonts w:asciiTheme="majorHAnsi" w:eastAsiaTheme="majorEastAsia" w:hAnsiTheme="majorHAnsi" w:cstheme="majorBidi"/>
    </w:rPr>
  </w:style>
  <w:style w:type="paragraph" w:styleId="BalloonText">
    <w:name w:val="Balloon Text"/>
    <w:basedOn w:val="Normal"/>
    <w:link w:val="BalloonTextChar"/>
    <w:uiPriority w:val="99"/>
    <w:semiHidden/>
    <w:unhideWhenUsed/>
    <w:rsid w:val="00694A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4A94"/>
    <w:rPr>
      <w:rFonts w:ascii="Segoe UI" w:hAnsi="Segoe UI" w:cs="Segoe UI"/>
      <w:sz w:val="18"/>
      <w:szCs w:val="18"/>
    </w:rPr>
  </w:style>
  <w:style w:type="table" w:customStyle="1" w:styleId="dottedinternalgridwithheavyheadingandtotals">
    <w:name w:val="dotted internal grid with heavy heading and totals"/>
    <w:basedOn w:val="TableNormal"/>
    <w:uiPriority w:val="99"/>
    <w:rsid w:val="009074B5"/>
    <w:pPr>
      <w:spacing w:after="0" w:line="240" w:lineRule="auto"/>
    </w:pPr>
    <w:tblPr>
      <w:tblBorders>
        <w:insideH w:val="dotted" w:sz="4" w:space="0" w:color="EAB290" w:themeColor="accent2" w:themeTint="99"/>
        <w:insideV w:val="dotted" w:sz="4" w:space="0" w:color="EAB290" w:themeColor="accent2" w:themeTint="99"/>
      </w:tblBorders>
    </w:tblPr>
    <w:tcPr>
      <w:shd w:val="clear" w:color="auto" w:fill="auto"/>
    </w:tcPr>
    <w:tblStylePr w:type="firstRow">
      <w:rPr>
        <w:rFonts w:ascii="Akzidenz-Grotesk Pro Bold Ext" w:hAnsi="Akzidenz-Grotesk Pro Bold Ext"/>
        <w:b/>
        <w:color w:val="auto"/>
        <w:sz w:val="22"/>
      </w:rPr>
      <w:tblPr/>
      <w:tcPr>
        <w:shd w:val="clear" w:color="auto" w:fill="auto"/>
      </w:tcPr>
    </w:tblStylePr>
  </w:style>
  <w:style w:type="table" w:customStyle="1" w:styleId="GridTable2-Accent41">
    <w:name w:val="Grid Table 2 - Accent 41"/>
    <w:basedOn w:val="TableNormal"/>
    <w:uiPriority w:val="47"/>
    <w:rsid w:val="00A84074"/>
    <w:pPr>
      <w:spacing w:after="0" w:line="240" w:lineRule="auto"/>
    </w:pPr>
    <w:tblPr>
      <w:tblStyleRowBandSize w:val="1"/>
      <w:tblStyleColBandSize w:val="1"/>
      <w:tblBorders>
        <w:top w:val="single" w:sz="2" w:space="0" w:color="E7D09D" w:themeColor="accent4" w:themeTint="99"/>
        <w:bottom w:val="single" w:sz="2" w:space="0" w:color="E7D09D" w:themeColor="accent4" w:themeTint="99"/>
        <w:insideH w:val="single" w:sz="2" w:space="0" w:color="E7D09D" w:themeColor="accent4" w:themeTint="99"/>
        <w:insideV w:val="single" w:sz="2" w:space="0" w:color="E7D09D" w:themeColor="accent4" w:themeTint="99"/>
      </w:tblBorders>
    </w:tblPr>
    <w:tblStylePr w:type="firstRow">
      <w:rPr>
        <w:b/>
        <w:bCs/>
      </w:rPr>
      <w:tblPr/>
      <w:tcPr>
        <w:tcBorders>
          <w:top w:val="nil"/>
          <w:bottom w:val="single" w:sz="12" w:space="0" w:color="E7D09D" w:themeColor="accent4" w:themeTint="99"/>
          <w:insideH w:val="nil"/>
          <w:insideV w:val="nil"/>
        </w:tcBorders>
        <w:shd w:val="clear" w:color="auto" w:fill="FFFFFF" w:themeFill="background1"/>
      </w:tcPr>
    </w:tblStylePr>
    <w:tblStylePr w:type="lastRow">
      <w:rPr>
        <w:b/>
        <w:bCs/>
      </w:rPr>
      <w:tblPr/>
      <w:tcPr>
        <w:tcBorders>
          <w:top w:val="double" w:sz="2" w:space="0" w:color="E7D09D"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paragraph" w:customStyle="1" w:styleId="Inbrief">
    <w:name w:val="In brief"/>
    <w:basedOn w:val="Normal"/>
    <w:uiPriority w:val="1"/>
    <w:rsid w:val="00CA3FD3"/>
    <w:pPr>
      <w:pBdr>
        <w:bottom w:val="single" w:sz="4" w:space="1" w:color="DD8047" w:themeColor="accent2"/>
      </w:pBdr>
      <w:shd w:val="clear" w:color="auto" w:fill="FCF3EE"/>
      <w:contextualSpacing/>
    </w:pPr>
    <w:rPr>
      <w:b/>
    </w:rPr>
  </w:style>
  <w:style w:type="paragraph" w:styleId="TOC4">
    <w:name w:val="toc 4"/>
    <w:basedOn w:val="Normal"/>
    <w:next w:val="Normal"/>
    <w:autoRedefine/>
    <w:uiPriority w:val="39"/>
    <w:unhideWhenUsed/>
    <w:rsid w:val="00D35D5C"/>
    <w:pPr>
      <w:spacing w:after="100" w:line="259" w:lineRule="auto"/>
      <w:ind w:left="660"/>
    </w:pPr>
    <w:rPr>
      <w:rFonts w:eastAsiaTheme="minorEastAsia"/>
      <w:lang w:eastAsia="en-GB"/>
    </w:rPr>
  </w:style>
  <w:style w:type="paragraph" w:styleId="TOC5">
    <w:name w:val="toc 5"/>
    <w:basedOn w:val="Normal"/>
    <w:next w:val="Normal"/>
    <w:autoRedefine/>
    <w:uiPriority w:val="39"/>
    <w:unhideWhenUsed/>
    <w:rsid w:val="00D35D5C"/>
    <w:pPr>
      <w:spacing w:after="100" w:line="259" w:lineRule="auto"/>
      <w:ind w:left="880"/>
    </w:pPr>
    <w:rPr>
      <w:rFonts w:eastAsiaTheme="minorEastAsia"/>
      <w:lang w:eastAsia="en-GB"/>
    </w:rPr>
  </w:style>
  <w:style w:type="paragraph" w:styleId="TOC6">
    <w:name w:val="toc 6"/>
    <w:basedOn w:val="Normal"/>
    <w:next w:val="Normal"/>
    <w:autoRedefine/>
    <w:uiPriority w:val="39"/>
    <w:unhideWhenUsed/>
    <w:rsid w:val="00D35D5C"/>
    <w:pPr>
      <w:spacing w:after="100" w:line="259" w:lineRule="auto"/>
      <w:ind w:left="1100"/>
    </w:pPr>
    <w:rPr>
      <w:rFonts w:eastAsiaTheme="minorEastAsia"/>
      <w:lang w:eastAsia="en-GB"/>
    </w:rPr>
  </w:style>
  <w:style w:type="paragraph" w:styleId="TOC7">
    <w:name w:val="toc 7"/>
    <w:basedOn w:val="Normal"/>
    <w:next w:val="Normal"/>
    <w:autoRedefine/>
    <w:uiPriority w:val="39"/>
    <w:unhideWhenUsed/>
    <w:rsid w:val="00D35D5C"/>
    <w:pPr>
      <w:spacing w:after="100" w:line="259" w:lineRule="auto"/>
      <w:ind w:left="1320"/>
    </w:pPr>
    <w:rPr>
      <w:rFonts w:eastAsiaTheme="minorEastAsia"/>
      <w:lang w:eastAsia="en-GB"/>
    </w:rPr>
  </w:style>
  <w:style w:type="paragraph" w:styleId="TOC8">
    <w:name w:val="toc 8"/>
    <w:basedOn w:val="Normal"/>
    <w:next w:val="Normal"/>
    <w:autoRedefine/>
    <w:uiPriority w:val="39"/>
    <w:unhideWhenUsed/>
    <w:rsid w:val="00D35D5C"/>
    <w:pPr>
      <w:spacing w:after="100" w:line="259" w:lineRule="auto"/>
      <w:ind w:left="1540"/>
    </w:pPr>
    <w:rPr>
      <w:rFonts w:eastAsiaTheme="minorEastAsia"/>
      <w:lang w:eastAsia="en-GB"/>
    </w:rPr>
  </w:style>
  <w:style w:type="paragraph" w:styleId="TOC9">
    <w:name w:val="toc 9"/>
    <w:basedOn w:val="Normal"/>
    <w:next w:val="Normal"/>
    <w:autoRedefine/>
    <w:uiPriority w:val="39"/>
    <w:unhideWhenUsed/>
    <w:rsid w:val="00D35D5C"/>
    <w:pPr>
      <w:spacing w:after="100" w:line="259" w:lineRule="auto"/>
      <w:ind w:left="1760"/>
    </w:pPr>
    <w:rPr>
      <w:rFonts w:eastAsiaTheme="minorEastAsia"/>
      <w:lang w:eastAsia="en-GB"/>
    </w:rPr>
  </w:style>
  <w:style w:type="paragraph" w:customStyle="1" w:styleId="glossarycontents">
    <w:name w:val="glossary contents"/>
    <w:basedOn w:val="Normal"/>
    <w:link w:val="glossarycontentsChar"/>
    <w:rsid w:val="009A4C2C"/>
    <w:rPr>
      <w:rFonts w:eastAsiaTheme="minorEastAsia"/>
      <w:kern w:val="22"/>
      <w:lang w:val="en-US" w:eastAsia="ja-JP"/>
      <w14:ligatures w14:val="standard"/>
    </w:rPr>
  </w:style>
  <w:style w:type="paragraph" w:customStyle="1" w:styleId="headingunderline">
    <w:name w:val="heading underline"/>
    <w:basedOn w:val="Heading3"/>
    <w:link w:val="headingunderlineChar"/>
    <w:qFormat/>
    <w:rsid w:val="007F574A"/>
    <w:pPr>
      <w:pBdr>
        <w:bottom w:val="single" w:sz="4" w:space="1" w:color="548AB7" w:themeColor="accent1" w:themeShade="BF"/>
      </w:pBdr>
      <w:spacing w:after="120"/>
    </w:pPr>
    <w:rPr>
      <w:b w:val="0"/>
      <w:color w:val="auto"/>
      <w:sz w:val="4"/>
      <w:szCs w:val="8"/>
    </w:rPr>
  </w:style>
  <w:style w:type="character" w:customStyle="1" w:styleId="glossarycontentsChar">
    <w:name w:val="glossary contents Char"/>
    <w:basedOn w:val="DefaultParagraphFont"/>
    <w:link w:val="glossarycontents"/>
    <w:rsid w:val="009A4C2C"/>
    <w:rPr>
      <w:rFonts w:eastAsiaTheme="minorEastAsia"/>
      <w:kern w:val="22"/>
      <w:lang w:val="en-US" w:eastAsia="ja-JP"/>
      <w14:ligatures w14:val="standard"/>
    </w:rPr>
  </w:style>
  <w:style w:type="character" w:customStyle="1" w:styleId="headingunderlineChar">
    <w:name w:val="heading underline Char"/>
    <w:basedOn w:val="Heading3Char"/>
    <w:link w:val="headingunderline"/>
    <w:rsid w:val="007F574A"/>
    <w:rPr>
      <w:rFonts w:asciiTheme="majorHAnsi" w:eastAsiaTheme="majorEastAsia" w:hAnsiTheme="majorHAnsi" w:cstheme="majorBidi"/>
      <w:b w:val="0"/>
      <w:color w:val="548AB7" w:themeColor="accent1" w:themeShade="BF"/>
      <w:sz w:val="4"/>
      <w:szCs w:val="8"/>
    </w:rPr>
  </w:style>
  <w:style w:type="character" w:styleId="CommentReference">
    <w:name w:val="annotation reference"/>
    <w:basedOn w:val="DefaultParagraphFont"/>
    <w:uiPriority w:val="99"/>
    <w:semiHidden/>
    <w:unhideWhenUsed/>
    <w:rsid w:val="00B3129B"/>
    <w:rPr>
      <w:sz w:val="16"/>
      <w:szCs w:val="16"/>
    </w:rPr>
  </w:style>
  <w:style w:type="paragraph" w:styleId="CommentText">
    <w:name w:val="annotation text"/>
    <w:basedOn w:val="Normal"/>
    <w:link w:val="CommentTextChar"/>
    <w:uiPriority w:val="99"/>
    <w:semiHidden/>
    <w:unhideWhenUsed/>
    <w:rsid w:val="00B3129B"/>
    <w:rPr>
      <w:sz w:val="20"/>
      <w:szCs w:val="20"/>
    </w:rPr>
  </w:style>
  <w:style w:type="character" w:customStyle="1" w:styleId="CommentTextChar">
    <w:name w:val="Comment Text Char"/>
    <w:basedOn w:val="DefaultParagraphFont"/>
    <w:link w:val="CommentText"/>
    <w:uiPriority w:val="99"/>
    <w:semiHidden/>
    <w:rsid w:val="00B3129B"/>
    <w:rPr>
      <w:sz w:val="20"/>
      <w:szCs w:val="20"/>
    </w:rPr>
  </w:style>
  <w:style w:type="paragraph" w:styleId="CommentSubject">
    <w:name w:val="annotation subject"/>
    <w:basedOn w:val="CommentText"/>
    <w:next w:val="CommentText"/>
    <w:link w:val="CommentSubjectChar"/>
    <w:uiPriority w:val="99"/>
    <w:semiHidden/>
    <w:unhideWhenUsed/>
    <w:rsid w:val="00B3129B"/>
    <w:rPr>
      <w:b/>
      <w:bCs/>
    </w:rPr>
  </w:style>
  <w:style w:type="character" w:customStyle="1" w:styleId="CommentSubjectChar">
    <w:name w:val="Comment Subject Char"/>
    <w:basedOn w:val="CommentTextChar"/>
    <w:link w:val="CommentSubject"/>
    <w:uiPriority w:val="99"/>
    <w:semiHidden/>
    <w:rsid w:val="00B3129B"/>
    <w:rPr>
      <w:b/>
      <w:bCs/>
      <w:sz w:val="20"/>
      <w:szCs w:val="20"/>
    </w:rPr>
  </w:style>
  <w:style w:type="paragraph" w:customStyle="1" w:styleId="additionalprogrammeheading">
    <w:name w:val="additional programme heading"/>
    <w:basedOn w:val="Heading3"/>
    <w:link w:val="additionalprogrammeheadingChar"/>
    <w:qFormat/>
    <w:rsid w:val="00263D9F"/>
  </w:style>
  <w:style w:type="character" w:customStyle="1" w:styleId="additionalprogrammeheadingChar">
    <w:name w:val="additional programme heading Char"/>
    <w:basedOn w:val="Heading2Char"/>
    <w:link w:val="additionalprogrammeheading"/>
    <w:rsid w:val="00263D9F"/>
    <w:rPr>
      <w:rFonts w:asciiTheme="majorHAnsi" w:eastAsiaTheme="majorEastAsia" w:hAnsiTheme="majorHAnsi" w:cstheme="majorBidi"/>
      <w:b/>
      <w:color w:val="548AB7" w:themeColor="accent1" w:themeShade="BF"/>
      <w:sz w:val="24"/>
      <w:szCs w:val="24"/>
      <w:shd w:val="clear" w:color="auto" w:fill="F8E5DA" w:themeFill="accent2" w:themeFillTint="33"/>
    </w:rPr>
  </w:style>
  <w:style w:type="character" w:customStyle="1" w:styleId="Heading8Char">
    <w:name w:val="Heading 8 Char"/>
    <w:basedOn w:val="DefaultParagraphFont"/>
    <w:link w:val="Heading8"/>
    <w:uiPriority w:val="9"/>
    <w:rsid w:val="00E50FC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50FCF"/>
    <w:rPr>
      <w:rFonts w:asciiTheme="majorHAnsi" w:eastAsiaTheme="majorEastAsia" w:hAnsiTheme="majorHAnsi" w:cstheme="majorBidi"/>
      <w:i/>
      <w:iCs/>
      <w:color w:val="272727" w:themeColor="text1" w:themeTint="D8"/>
      <w:sz w:val="21"/>
      <w:szCs w:val="21"/>
    </w:rPr>
  </w:style>
  <w:style w:type="character" w:customStyle="1" w:styleId="Heading7Char">
    <w:name w:val="Heading 7 Char"/>
    <w:basedOn w:val="DefaultParagraphFont"/>
    <w:link w:val="Heading7"/>
    <w:uiPriority w:val="9"/>
    <w:rsid w:val="00B1135E"/>
    <w:rPr>
      <w:rFonts w:asciiTheme="majorHAnsi" w:eastAsiaTheme="majorEastAsia" w:hAnsiTheme="majorHAnsi" w:cstheme="majorBidi"/>
      <w:i/>
      <w:iCs/>
      <w:color w:val="345C7D" w:themeColor="accent1" w:themeShade="7F"/>
    </w:rPr>
  </w:style>
  <w:style w:type="paragraph" w:customStyle="1" w:styleId="subjectareaheading">
    <w:name w:val="subject area heading"/>
    <w:basedOn w:val="additionalprogrammeheading"/>
    <w:next w:val="Heading2"/>
    <w:link w:val="subjectareaheadingChar"/>
    <w:qFormat/>
    <w:rsid w:val="00DB6BAB"/>
    <w:rPr>
      <w:i/>
      <w:color w:val="DD8047" w:themeColor="accent2"/>
    </w:rPr>
  </w:style>
  <w:style w:type="character" w:customStyle="1" w:styleId="subjectareaheadingChar">
    <w:name w:val="subject area heading Char"/>
    <w:basedOn w:val="DefaultParagraphFont"/>
    <w:link w:val="subjectareaheading"/>
    <w:rsid w:val="00DB6BAB"/>
    <w:rPr>
      <w:rFonts w:asciiTheme="majorHAnsi" w:eastAsiaTheme="majorEastAsia" w:hAnsiTheme="majorHAnsi" w:cstheme="majorBidi"/>
      <w:b/>
      <w:i/>
      <w:color w:val="DD8047" w:themeColor="accent2"/>
      <w:sz w:val="24"/>
      <w:szCs w:val="26"/>
    </w:rPr>
  </w:style>
  <w:style w:type="character" w:styleId="SubtleEmphasis">
    <w:name w:val="Subtle Emphasis"/>
    <w:basedOn w:val="DefaultParagraphFont"/>
    <w:uiPriority w:val="19"/>
    <w:rsid w:val="00A325D3"/>
    <w:rPr>
      <w:i/>
      <w:iCs/>
      <w:color w:val="404040" w:themeColor="text1" w:themeTint="BF"/>
    </w:rPr>
  </w:style>
  <w:style w:type="paragraph" w:styleId="Quote">
    <w:name w:val="Quote"/>
    <w:basedOn w:val="Normal"/>
    <w:next w:val="Normal"/>
    <w:link w:val="QuoteChar"/>
    <w:uiPriority w:val="29"/>
    <w:rsid w:val="00A325D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325D3"/>
    <w:rPr>
      <w:i/>
      <w:iCs/>
      <w:color w:val="404040" w:themeColor="text1" w:themeTint="BF"/>
    </w:rPr>
  </w:style>
  <w:style w:type="character" w:styleId="SubtleReference">
    <w:name w:val="Subtle Reference"/>
    <w:basedOn w:val="DefaultParagraphFont"/>
    <w:uiPriority w:val="31"/>
    <w:rsid w:val="00A325D3"/>
    <w:rPr>
      <w:smallCaps/>
      <w:color w:val="5A5A5A" w:themeColor="text1" w:themeTint="A5"/>
    </w:rPr>
  </w:style>
  <w:style w:type="character" w:styleId="IntenseReference">
    <w:name w:val="Intense Reference"/>
    <w:basedOn w:val="DefaultParagraphFont"/>
    <w:uiPriority w:val="32"/>
    <w:rsid w:val="00A325D3"/>
    <w:rPr>
      <w:b/>
      <w:bCs/>
      <w:smallCaps/>
      <w:color w:val="94B6D2" w:themeColor="accent1"/>
      <w:spacing w:val="5"/>
    </w:rPr>
  </w:style>
  <w:style w:type="character" w:styleId="BookTitle">
    <w:name w:val="Book Title"/>
    <w:basedOn w:val="DefaultParagraphFont"/>
    <w:uiPriority w:val="33"/>
    <w:rsid w:val="00A325D3"/>
    <w:rPr>
      <w:b/>
      <w:bCs/>
      <w:i/>
      <w:iCs/>
      <w:spacing w:val="5"/>
    </w:rPr>
  </w:style>
  <w:style w:type="paragraph" w:styleId="E-mailSignature">
    <w:name w:val="E-mail Signature"/>
    <w:basedOn w:val="Normal"/>
    <w:link w:val="E-mailSignatureChar"/>
    <w:uiPriority w:val="99"/>
    <w:semiHidden/>
    <w:unhideWhenUsed/>
    <w:rsid w:val="001B195D"/>
  </w:style>
  <w:style w:type="character" w:customStyle="1" w:styleId="E-mailSignatureChar">
    <w:name w:val="E-mail Signature Char"/>
    <w:basedOn w:val="DefaultParagraphFont"/>
    <w:link w:val="E-mailSignature"/>
    <w:uiPriority w:val="99"/>
    <w:semiHidden/>
    <w:rsid w:val="001B195D"/>
  </w:style>
  <w:style w:type="paragraph" w:styleId="BodyText">
    <w:name w:val="Body Text"/>
    <w:basedOn w:val="Normal"/>
    <w:link w:val="BodyTextChar"/>
    <w:uiPriority w:val="1"/>
    <w:unhideWhenUsed/>
    <w:qFormat/>
    <w:rsid w:val="00D170B2"/>
    <w:pPr>
      <w:spacing w:after="120"/>
    </w:pPr>
    <w:rPr>
      <w:rFonts w:ascii="Calibri" w:eastAsia="Times New Roman" w:hAnsi="Calibri" w:cs="Times New Roman"/>
      <w:szCs w:val="24"/>
      <w:lang w:eastAsia="en-GB"/>
    </w:rPr>
  </w:style>
  <w:style w:type="character" w:customStyle="1" w:styleId="BodyTextChar">
    <w:name w:val="Body Text Char"/>
    <w:basedOn w:val="DefaultParagraphFont"/>
    <w:link w:val="BodyText"/>
    <w:uiPriority w:val="1"/>
    <w:rsid w:val="00D170B2"/>
    <w:rPr>
      <w:rFonts w:ascii="Calibri" w:eastAsia="Times New Roman" w:hAnsi="Calibri" w:cs="Times New Roman"/>
      <w:szCs w:val="24"/>
      <w:lang w:eastAsia="en-GB"/>
    </w:rPr>
  </w:style>
  <w:style w:type="paragraph" w:styleId="NormalWeb">
    <w:name w:val="Normal (Web)"/>
    <w:basedOn w:val="Normal"/>
    <w:uiPriority w:val="99"/>
    <w:semiHidden/>
    <w:unhideWhenUsed/>
    <w:rsid w:val="00912A20"/>
    <w:rPr>
      <w:rFonts w:ascii="Times New Roman" w:hAnsi="Times New Roman" w:cs="Times New Roman"/>
      <w:sz w:val="24"/>
      <w:szCs w:val="24"/>
      <w:lang w:eastAsia="en-GB"/>
    </w:rPr>
  </w:style>
  <w:style w:type="paragraph" w:customStyle="1" w:styleId="headingunderline0">
    <w:name w:val="headingunderline"/>
    <w:basedOn w:val="Normal"/>
    <w:rsid w:val="00EC48ED"/>
    <w:pPr>
      <w:keepNext/>
      <w:spacing w:after="120"/>
    </w:pPr>
    <w:rPr>
      <w:rFonts w:ascii="Cambria" w:hAnsi="Cambria" w:cs="Times New Roman"/>
      <w:color w:val="365F91"/>
      <w:sz w:val="4"/>
      <w:szCs w:val="4"/>
      <w:lang w:eastAsia="en-GB"/>
    </w:rPr>
  </w:style>
  <w:style w:type="paragraph" w:customStyle="1" w:styleId="DarkList-Accent51">
    <w:name w:val="Dark List - Accent 51"/>
    <w:basedOn w:val="Normal"/>
    <w:uiPriority w:val="34"/>
    <w:qFormat/>
    <w:rsid w:val="00942534"/>
    <w:pPr>
      <w:ind w:left="720"/>
      <w:contextualSpacing/>
    </w:pPr>
    <w:rPr>
      <w:rFonts w:ascii="Calibri" w:eastAsia="Calibri" w:hAnsi="Calibri" w:cs="Times New Roman"/>
    </w:rPr>
  </w:style>
  <w:style w:type="character" w:customStyle="1" w:styleId="ListParagraphChar">
    <w:name w:val="List Paragraph Char"/>
    <w:basedOn w:val="DefaultParagraphFont"/>
    <w:link w:val="ListParagraph"/>
    <w:uiPriority w:val="34"/>
    <w:locked/>
    <w:rsid w:val="00942534"/>
    <w:rPr>
      <w:rFonts w:ascii="Century Gothic" w:hAnsi="Century Gothic" w:cs="Arial"/>
    </w:rPr>
  </w:style>
  <w:style w:type="paragraph" w:customStyle="1" w:styleId="xmsonormal">
    <w:name w:val="x_msonormal"/>
    <w:basedOn w:val="Normal"/>
    <w:rsid w:val="00CD5489"/>
    <w:rPr>
      <w:rFonts w:ascii="Calibri" w:hAnsi="Calibri" w:cs="Calibri"/>
      <w:lang w:eastAsia="en-GB"/>
    </w:rPr>
  </w:style>
  <w:style w:type="paragraph" w:customStyle="1" w:styleId="Default">
    <w:name w:val="Default"/>
    <w:rsid w:val="00C2358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83214">
      <w:bodyDiv w:val="1"/>
      <w:marLeft w:val="0"/>
      <w:marRight w:val="0"/>
      <w:marTop w:val="0"/>
      <w:marBottom w:val="0"/>
      <w:divBdr>
        <w:top w:val="none" w:sz="0" w:space="0" w:color="auto"/>
        <w:left w:val="none" w:sz="0" w:space="0" w:color="auto"/>
        <w:bottom w:val="none" w:sz="0" w:space="0" w:color="auto"/>
        <w:right w:val="none" w:sz="0" w:space="0" w:color="auto"/>
      </w:divBdr>
    </w:div>
    <w:div w:id="71436580">
      <w:bodyDiv w:val="1"/>
      <w:marLeft w:val="0"/>
      <w:marRight w:val="0"/>
      <w:marTop w:val="0"/>
      <w:marBottom w:val="0"/>
      <w:divBdr>
        <w:top w:val="none" w:sz="0" w:space="0" w:color="auto"/>
        <w:left w:val="none" w:sz="0" w:space="0" w:color="auto"/>
        <w:bottom w:val="none" w:sz="0" w:space="0" w:color="auto"/>
        <w:right w:val="none" w:sz="0" w:space="0" w:color="auto"/>
      </w:divBdr>
    </w:div>
    <w:div w:id="87308435">
      <w:bodyDiv w:val="1"/>
      <w:marLeft w:val="0"/>
      <w:marRight w:val="0"/>
      <w:marTop w:val="0"/>
      <w:marBottom w:val="0"/>
      <w:divBdr>
        <w:top w:val="none" w:sz="0" w:space="0" w:color="auto"/>
        <w:left w:val="none" w:sz="0" w:space="0" w:color="auto"/>
        <w:bottom w:val="none" w:sz="0" w:space="0" w:color="auto"/>
        <w:right w:val="none" w:sz="0" w:space="0" w:color="auto"/>
      </w:divBdr>
    </w:div>
    <w:div w:id="120854538">
      <w:bodyDiv w:val="1"/>
      <w:marLeft w:val="0"/>
      <w:marRight w:val="0"/>
      <w:marTop w:val="0"/>
      <w:marBottom w:val="0"/>
      <w:divBdr>
        <w:top w:val="none" w:sz="0" w:space="0" w:color="auto"/>
        <w:left w:val="none" w:sz="0" w:space="0" w:color="auto"/>
        <w:bottom w:val="none" w:sz="0" w:space="0" w:color="auto"/>
        <w:right w:val="none" w:sz="0" w:space="0" w:color="auto"/>
      </w:divBdr>
    </w:div>
    <w:div w:id="254631791">
      <w:bodyDiv w:val="1"/>
      <w:marLeft w:val="0"/>
      <w:marRight w:val="0"/>
      <w:marTop w:val="0"/>
      <w:marBottom w:val="0"/>
      <w:divBdr>
        <w:top w:val="none" w:sz="0" w:space="0" w:color="auto"/>
        <w:left w:val="none" w:sz="0" w:space="0" w:color="auto"/>
        <w:bottom w:val="none" w:sz="0" w:space="0" w:color="auto"/>
        <w:right w:val="none" w:sz="0" w:space="0" w:color="auto"/>
      </w:divBdr>
    </w:div>
    <w:div w:id="441850089">
      <w:bodyDiv w:val="1"/>
      <w:marLeft w:val="0"/>
      <w:marRight w:val="0"/>
      <w:marTop w:val="0"/>
      <w:marBottom w:val="0"/>
      <w:divBdr>
        <w:top w:val="none" w:sz="0" w:space="0" w:color="auto"/>
        <w:left w:val="none" w:sz="0" w:space="0" w:color="auto"/>
        <w:bottom w:val="none" w:sz="0" w:space="0" w:color="auto"/>
        <w:right w:val="none" w:sz="0" w:space="0" w:color="auto"/>
      </w:divBdr>
    </w:div>
    <w:div w:id="855845973">
      <w:bodyDiv w:val="1"/>
      <w:marLeft w:val="0"/>
      <w:marRight w:val="0"/>
      <w:marTop w:val="0"/>
      <w:marBottom w:val="0"/>
      <w:divBdr>
        <w:top w:val="none" w:sz="0" w:space="0" w:color="auto"/>
        <w:left w:val="none" w:sz="0" w:space="0" w:color="auto"/>
        <w:bottom w:val="none" w:sz="0" w:space="0" w:color="auto"/>
        <w:right w:val="none" w:sz="0" w:space="0" w:color="auto"/>
      </w:divBdr>
    </w:div>
    <w:div w:id="955402878">
      <w:bodyDiv w:val="1"/>
      <w:marLeft w:val="0"/>
      <w:marRight w:val="0"/>
      <w:marTop w:val="0"/>
      <w:marBottom w:val="0"/>
      <w:divBdr>
        <w:top w:val="none" w:sz="0" w:space="0" w:color="auto"/>
        <w:left w:val="none" w:sz="0" w:space="0" w:color="auto"/>
        <w:bottom w:val="none" w:sz="0" w:space="0" w:color="auto"/>
        <w:right w:val="none" w:sz="0" w:space="0" w:color="auto"/>
      </w:divBdr>
    </w:div>
    <w:div w:id="1016349546">
      <w:bodyDiv w:val="1"/>
      <w:marLeft w:val="0"/>
      <w:marRight w:val="0"/>
      <w:marTop w:val="0"/>
      <w:marBottom w:val="0"/>
      <w:divBdr>
        <w:top w:val="none" w:sz="0" w:space="0" w:color="auto"/>
        <w:left w:val="none" w:sz="0" w:space="0" w:color="auto"/>
        <w:bottom w:val="none" w:sz="0" w:space="0" w:color="auto"/>
        <w:right w:val="none" w:sz="0" w:space="0" w:color="auto"/>
      </w:divBdr>
    </w:div>
    <w:div w:id="1075395161">
      <w:bodyDiv w:val="1"/>
      <w:marLeft w:val="0"/>
      <w:marRight w:val="0"/>
      <w:marTop w:val="0"/>
      <w:marBottom w:val="0"/>
      <w:divBdr>
        <w:top w:val="none" w:sz="0" w:space="0" w:color="auto"/>
        <w:left w:val="none" w:sz="0" w:space="0" w:color="auto"/>
        <w:bottom w:val="none" w:sz="0" w:space="0" w:color="auto"/>
        <w:right w:val="none" w:sz="0" w:space="0" w:color="auto"/>
      </w:divBdr>
    </w:div>
    <w:div w:id="1115446685">
      <w:bodyDiv w:val="1"/>
      <w:marLeft w:val="0"/>
      <w:marRight w:val="0"/>
      <w:marTop w:val="0"/>
      <w:marBottom w:val="0"/>
      <w:divBdr>
        <w:top w:val="none" w:sz="0" w:space="0" w:color="auto"/>
        <w:left w:val="none" w:sz="0" w:space="0" w:color="auto"/>
        <w:bottom w:val="none" w:sz="0" w:space="0" w:color="auto"/>
        <w:right w:val="none" w:sz="0" w:space="0" w:color="auto"/>
      </w:divBdr>
    </w:div>
    <w:div w:id="1124082660">
      <w:bodyDiv w:val="1"/>
      <w:marLeft w:val="0"/>
      <w:marRight w:val="0"/>
      <w:marTop w:val="0"/>
      <w:marBottom w:val="0"/>
      <w:divBdr>
        <w:top w:val="none" w:sz="0" w:space="0" w:color="auto"/>
        <w:left w:val="none" w:sz="0" w:space="0" w:color="auto"/>
        <w:bottom w:val="none" w:sz="0" w:space="0" w:color="auto"/>
        <w:right w:val="none" w:sz="0" w:space="0" w:color="auto"/>
      </w:divBdr>
    </w:div>
    <w:div w:id="1156873800">
      <w:bodyDiv w:val="1"/>
      <w:marLeft w:val="0"/>
      <w:marRight w:val="0"/>
      <w:marTop w:val="0"/>
      <w:marBottom w:val="0"/>
      <w:divBdr>
        <w:top w:val="none" w:sz="0" w:space="0" w:color="auto"/>
        <w:left w:val="none" w:sz="0" w:space="0" w:color="auto"/>
        <w:bottom w:val="none" w:sz="0" w:space="0" w:color="auto"/>
        <w:right w:val="none" w:sz="0" w:space="0" w:color="auto"/>
      </w:divBdr>
    </w:div>
    <w:div w:id="1187450949">
      <w:bodyDiv w:val="1"/>
      <w:marLeft w:val="0"/>
      <w:marRight w:val="0"/>
      <w:marTop w:val="0"/>
      <w:marBottom w:val="0"/>
      <w:divBdr>
        <w:top w:val="none" w:sz="0" w:space="0" w:color="auto"/>
        <w:left w:val="none" w:sz="0" w:space="0" w:color="auto"/>
        <w:bottom w:val="none" w:sz="0" w:space="0" w:color="auto"/>
        <w:right w:val="none" w:sz="0" w:space="0" w:color="auto"/>
      </w:divBdr>
    </w:div>
    <w:div w:id="1333609890">
      <w:bodyDiv w:val="1"/>
      <w:marLeft w:val="0"/>
      <w:marRight w:val="0"/>
      <w:marTop w:val="0"/>
      <w:marBottom w:val="0"/>
      <w:divBdr>
        <w:top w:val="none" w:sz="0" w:space="0" w:color="auto"/>
        <w:left w:val="none" w:sz="0" w:space="0" w:color="auto"/>
        <w:bottom w:val="none" w:sz="0" w:space="0" w:color="auto"/>
        <w:right w:val="none" w:sz="0" w:space="0" w:color="auto"/>
      </w:divBdr>
      <w:divsChild>
        <w:div w:id="335378809">
          <w:marLeft w:val="0"/>
          <w:marRight w:val="0"/>
          <w:marTop w:val="0"/>
          <w:marBottom w:val="0"/>
          <w:divBdr>
            <w:top w:val="none" w:sz="0" w:space="0" w:color="auto"/>
            <w:left w:val="none" w:sz="0" w:space="0" w:color="auto"/>
            <w:bottom w:val="none" w:sz="0" w:space="0" w:color="auto"/>
            <w:right w:val="none" w:sz="0" w:space="0" w:color="auto"/>
          </w:divBdr>
          <w:divsChild>
            <w:div w:id="1406679918">
              <w:marLeft w:val="0"/>
              <w:marRight w:val="0"/>
              <w:marTop w:val="0"/>
              <w:marBottom w:val="450"/>
              <w:divBdr>
                <w:top w:val="none" w:sz="0" w:space="0" w:color="auto"/>
                <w:left w:val="none" w:sz="0" w:space="0" w:color="auto"/>
                <w:bottom w:val="none" w:sz="0" w:space="0" w:color="auto"/>
                <w:right w:val="none" w:sz="0" w:space="0" w:color="auto"/>
              </w:divBdr>
              <w:divsChild>
                <w:div w:id="176500494">
                  <w:marLeft w:val="0"/>
                  <w:marRight w:val="0"/>
                  <w:marTop w:val="0"/>
                  <w:marBottom w:val="0"/>
                  <w:divBdr>
                    <w:top w:val="none" w:sz="0" w:space="0" w:color="auto"/>
                    <w:left w:val="none" w:sz="0" w:space="0" w:color="auto"/>
                    <w:bottom w:val="none" w:sz="0" w:space="0" w:color="auto"/>
                    <w:right w:val="none" w:sz="0" w:space="0" w:color="auto"/>
                  </w:divBdr>
                  <w:divsChild>
                    <w:div w:id="1071003192">
                      <w:marLeft w:val="0"/>
                      <w:marRight w:val="0"/>
                      <w:marTop w:val="0"/>
                      <w:marBottom w:val="0"/>
                      <w:divBdr>
                        <w:top w:val="none" w:sz="0" w:space="0" w:color="auto"/>
                        <w:left w:val="none" w:sz="0" w:space="0" w:color="auto"/>
                        <w:bottom w:val="none" w:sz="0" w:space="0" w:color="auto"/>
                        <w:right w:val="none" w:sz="0" w:space="0" w:color="auto"/>
                      </w:divBdr>
                      <w:divsChild>
                        <w:div w:id="9085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0160358">
      <w:bodyDiv w:val="1"/>
      <w:marLeft w:val="0"/>
      <w:marRight w:val="0"/>
      <w:marTop w:val="0"/>
      <w:marBottom w:val="0"/>
      <w:divBdr>
        <w:top w:val="none" w:sz="0" w:space="0" w:color="auto"/>
        <w:left w:val="none" w:sz="0" w:space="0" w:color="auto"/>
        <w:bottom w:val="none" w:sz="0" w:space="0" w:color="auto"/>
        <w:right w:val="none" w:sz="0" w:space="0" w:color="auto"/>
      </w:divBdr>
    </w:div>
    <w:div w:id="1487625558">
      <w:bodyDiv w:val="1"/>
      <w:marLeft w:val="0"/>
      <w:marRight w:val="0"/>
      <w:marTop w:val="0"/>
      <w:marBottom w:val="0"/>
      <w:divBdr>
        <w:top w:val="none" w:sz="0" w:space="0" w:color="auto"/>
        <w:left w:val="none" w:sz="0" w:space="0" w:color="auto"/>
        <w:bottom w:val="none" w:sz="0" w:space="0" w:color="auto"/>
        <w:right w:val="none" w:sz="0" w:space="0" w:color="auto"/>
      </w:divBdr>
    </w:div>
    <w:div w:id="1600138884">
      <w:bodyDiv w:val="1"/>
      <w:marLeft w:val="0"/>
      <w:marRight w:val="0"/>
      <w:marTop w:val="0"/>
      <w:marBottom w:val="0"/>
      <w:divBdr>
        <w:top w:val="none" w:sz="0" w:space="0" w:color="auto"/>
        <w:left w:val="none" w:sz="0" w:space="0" w:color="auto"/>
        <w:bottom w:val="none" w:sz="0" w:space="0" w:color="auto"/>
        <w:right w:val="none" w:sz="0" w:space="0" w:color="auto"/>
      </w:divBdr>
    </w:div>
    <w:div w:id="1651910521">
      <w:bodyDiv w:val="1"/>
      <w:marLeft w:val="0"/>
      <w:marRight w:val="0"/>
      <w:marTop w:val="0"/>
      <w:marBottom w:val="0"/>
      <w:divBdr>
        <w:top w:val="none" w:sz="0" w:space="0" w:color="auto"/>
        <w:left w:val="none" w:sz="0" w:space="0" w:color="auto"/>
        <w:bottom w:val="none" w:sz="0" w:space="0" w:color="auto"/>
        <w:right w:val="none" w:sz="0" w:space="0" w:color="auto"/>
      </w:divBdr>
    </w:div>
    <w:div w:id="1801803310">
      <w:bodyDiv w:val="1"/>
      <w:marLeft w:val="0"/>
      <w:marRight w:val="0"/>
      <w:marTop w:val="0"/>
      <w:marBottom w:val="0"/>
      <w:divBdr>
        <w:top w:val="none" w:sz="0" w:space="0" w:color="auto"/>
        <w:left w:val="none" w:sz="0" w:space="0" w:color="auto"/>
        <w:bottom w:val="none" w:sz="0" w:space="0" w:color="auto"/>
        <w:right w:val="none" w:sz="0" w:space="0" w:color="auto"/>
      </w:divBdr>
    </w:div>
    <w:div w:id="1981496971">
      <w:bodyDiv w:val="1"/>
      <w:marLeft w:val="0"/>
      <w:marRight w:val="0"/>
      <w:marTop w:val="0"/>
      <w:marBottom w:val="0"/>
      <w:divBdr>
        <w:top w:val="none" w:sz="0" w:space="0" w:color="auto"/>
        <w:left w:val="none" w:sz="0" w:space="0" w:color="auto"/>
        <w:bottom w:val="none" w:sz="0" w:space="0" w:color="auto"/>
        <w:right w:val="none" w:sz="0" w:space="0" w:color="auto"/>
      </w:divBdr>
    </w:div>
    <w:div w:id="2025547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Wisp">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E4F1DF-1C7C-484A-AAB9-86C13CFEA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8594</Words>
  <Characters>48988</Characters>
  <Application>Microsoft Office Word</Application>
  <DocSecurity>4</DocSecurity>
  <Lines>408</Lines>
  <Paragraphs>114</Paragraphs>
  <ScaleCrop>false</ScaleCrop>
  <HeadingPairs>
    <vt:vector size="4" baseType="variant">
      <vt:variant>
        <vt:lpstr>Title</vt:lpstr>
      </vt:variant>
      <vt:variant>
        <vt:i4>1</vt:i4>
      </vt:variant>
      <vt:variant>
        <vt:lpstr>Headings</vt:lpstr>
      </vt:variant>
      <vt:variant>
        <vt:i4>90</vt:i4>
      </vt:variant>
    </vt:vector>
  </HeadingPairs>
  <TitlesOfParts>
    <vt:vector size="91" baseType="lpstr">
      <vt:lpstr/>
      <vt:lpstr>    Undergraduate</vt:lpstr>
      <vt:lpstr>        Biomedical Science BSc (Hons), B90044</vt:lpstr>
      <vt:lpstr>        </vt:lpstr>
      <vt:lpstr>        Community Justice BA (Hons)/GradDip, L56048</vt:lpstr>
      <vt:lpstr>        </vt:lpstr>
      <vt:lpstr>        Diagnostic Radiography, B82141</vt:lpstr>
      <vt:lpstr>        </vt:lpstr>
      <vt:lpstr>        Health and Professional Practice BSc (Hons)/BSc/GradCert/GradDip, B70051</vt:lpstr>
      <vt:lpstr>        </vt:lpstr>
      <vt:lpstr>        Healthcare Science (Audiology) BSc (Hons), B61044</vt:lpstr>
      <vt:lpstr>        </vt:lpstr>
      <vt:lpstr>        Healthcare Science (Audiology) Top-up BSc (Hons), B61045</vt:lpstr>
      <vt:lpstr>        Hearing Aid Audiology FdSc, B61011 / B61012 </vt:lpstr>
      <vt:lpstr>        </vt:lpstr>
      <vt:lpstr>        Human Communication (Speech and Language Therapy) BSc (Hons), B60041/B60042 (non</vt:lpstr>
      <vt:lpstr>        </vt:lpstr>
      <vt:lpstr>        Low Intensity Psychological Interventions GradCert, C84041</vt:lpstr>
      <vt:lpstr>        </vt:lpstr>
      <vt:lpstr>        Midwifery (pre-registration) BSc (Hons), B72048 (commissioned)/ B72051 (non-comm</vt:lpstr>
      <vt:lpstr>        </vt:lpstr>
      <vt:lpstr>        Non-medical Prescribing BSc/GradCert, B70042  </vt:lpstr>
      <vt:lpstr>        with NMC V300/PN025A with HCPC IP/SP</vt:lpstr>
      <vt:lpstr>        Non-medical Prescribing PGCert, B23079 </vt:lpstr>
      <vt:lpstr>        with NMC V300/PN185U with HCPC IP/SP</vt:lpstr>
      <vt:lpstr>        </vt:lpstr>
      <vt:lpstr>        Paramedicine BSc (Hons), B95041</vt:lpstr>
      <vt:lpstr>        Associate Ambulance Practice DipHE, B95021</vt:lpstr>
      <vt:lpstr>        Paramedicine BSc (Hons), B95041</vt:lpstr>
      <vt:lpstr>        Pharmacy MPharm, B23044</vt:lpstr>
      <vt:lpstr>        </vt:lpstr>
      <vt:lpstr>        Pharmacy MPharm, B23045</vt:lpstr>
      <vt:lpstr>        </vt:lpstr>
      <vt:lpstr>        Practice Nursing BSc/Grad Cert, B70095</vt:lpstr>
      <vt:lpstr>        </vt:lpstr>
      <vt:lpstr>        Professional Clinical Practice BSc (Hons)/BSc/GradCert/GradDip, B70241</vt:lpstr>
      <vt:lpstr>        </vt:lpstr>
      <vt:lpstr>        Degree in Professional Policing BA (Hons), L43582</vt:lpstr>
      <vt:lpstr>        </vt:lpstr>
      <vt:lpstr>        Professional Policing Practice BA (Hons), L43591 (Apprenticeship)</vt:lpstr>
      <vt:lpstr>        The College of Policing</vt:lpstr>
      <vt:lpstr>        Professional Policing Practice (Graduate Diploma) L43571</vt:lpstr>
      <vt:lpstr>        The College of Policing</vt:lpstr>
      <vt:lpstr>        Social Work BA (Hons), L50044</vt:lpstr>
      <vt:lpstr>        Specialist Community Public Health Nursing BSc (Hons), B71046   (Health Visiting</vt:lpstr>
      <vt:lpstr>        </vt:lpstr>
      <vt:lpstr>        Speech and Language Therapy BSc (Hons), B60051 </vt:lpstr>
      <vt:lpstr>        </vt:lpstr>
      <vt:lpstr>        Youth Work and Community Development BA (Hons), L53044</vt:lpstr>
      <vt:lpstr>        </vt:lpstr>
      <vt:lpstr>    Postgraduate </vt:lpstr>
      <vt:lpstr>        </vt:lpstr>
      <vt:lpstr>        </vt:lpstr>
      <vt:lpstr>        Applied Health Studies MRes, B90075</vt:lpstr>
      <vt:lpstr>        Psychology MRes, C80075</vt:lpstr>
      <vt:lpstr>        Social Work MRes, L50075</vt:lpstr>
      <vt:lpstr>        </vt:lpstr>
      <vt:lpstr>        Clinical Pharmacy/Clinical Pharmacy (with Independent Prescribing) MSc/PgDip/PgC</vt:lpstr>
      <vt:lpstr>        </vt:lpstr>
      <vt:lpstr>        Low Intensity Psychological Interventions PgCert, C84080</vt:lpstr>
      <vt:lpstr>        </vt:lpstr>
      <vt:lpstr>        </vt:lpstr>
      <vt:lpstr>        </vt:lpstr>
      <vt:lpstr>        Non-medical Prescribing PGCert, B23079 </vt:lpstr>
      <vt:lpstr>        PN185T with NMC V300/PN185U with HCPD IP/SP</vt:lpstr>
      <vt:lpstr>        </vt:lpstr>
      <vt:lpstr>        Nursing (Specialist Practice) MSc with NMC SPQ (Adult Nursing/Learning Disabilit</vt:lpstr>
      <vt:lpstr>        Practice Nursing PgCert, B70096</vt:lpstr>
      <vt:lpstr>        </vt:lpstr>
      <vt:lpstr>        </vt:lpstr>
      <vt:lpstr>        Professional Clinical Practice MSc. PGDip, PGCert, B70272</vt:lpstr>
      <vt:lpstr>        </vt:lpstr>
      <vt:lpstr>        Specialist Community Public Health Nursing (Health Visiting) or (School Nursing)</vt:lpstr>
      <vt:lpstr>        Pharmacy (CPD), B23091</vt:lpstr>
      <vt:lpstr>        </vt:lpstr>
      <vt:lpstr>        Physician Associate Studies MSc, B96071 </vt:lpstr>
      <vt:lpstr>        </vt:lpstr>
      <vt:lpstr>        Practice Nursing PgCert, B70096</vt:lpstr>
      <vt:lpstr>        </vt:lpstr>
      <vt:lpstr>        Professional Clinical Practice MSc/PGDip/PGCert, B70272</vt:lpstr>
      <vt:lpstr>        </vt:lpstr>
      <vt:lpstr>        Psychology MRes, C80075</vt:lpstr>
      <vt:lpstr>        Social Work MRes, L50075</vt:lpstr>
      <vt:lpstr>        </vt:lpstr>
      <vt:lpstr>        See MRes programmes (page 19)</vt:lpstr>
      <vt:lpstr>        Social Work Practice Education PgCert, L50078</vt:lpstr>
      <vt:lpstr>        </vt:lpstr>
      <vt:lpstr>        Youth/Health and Community Development Studies MA/PgDip, L53072 (CPD PT)/ L53074</vt:lpstr>
      <vt:lpstr>        </vt:lpstr>
      <vt:lpstr>        Youth Work/Health and Community Development MA/PgDip, L53075 (PQ PT)/ PROGRAMME </vt:lpstr>
      <vt:lpstr>        </vt:lpstr>
    </vt:vector>
  </TitlesOfParts>
  <Company>De Montfort University</Company>
  <LinksUpToDate>false</LinksUpToDate>
  <CharactersWithSpaces>57468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specific regulations - HLS</dc:title>
  <dc:subject>
  </dc:subject>
  <dc:creator>Sally Lloyd</dc:creator>
  <cp:keywords>
  </cp:keywords>
  <dc:description>
  </dc:description>
  <cp:lastModifiedBy>Carmen Bayliss</cp:lastModifiedBy>
  <cp:revision>2</cp:revision>
  <cp:lastPrinted>2019-06-19T07:36:00Z</cp:lastPrinted>
  <dcterms:created xsi:type="dcterms:W3CDTF">2021-06-29T15:17:00Z</dcterms:created>
  <dcterms:modified xsi:type="dcterms:W3CDTF">2021-09-28T12:24:35Z</dcterms:modified>
</cp:coreProperties>
</file>