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5D8" w:rsidRDefault="00060EB6" w14:paraId="547005C6" w14:textId="6245B324">
      <w:r>
        <w:t xml:space="preserve">Programme Specific Regulations </w:t>
      </w:r>
      <w:r w:rsidR="006D2EF7">
        <w:t>Faculty of Business and Law</w:t>
      </w:r>
      <w:bookmarkStart w:name="_GoBack" w:id="0"/>
      <w:bookmarkEnd w:id="0"/>
    </w:p>
    <w:p w:rsidR="00060EB6" w:rsidRDefault="00060EB6" w14:paraId="689A5C50" w14:textId="04A6D09F"/>
    <w:p w:rsidR="00060EB6" w:rsidP="00060EB6" w:rsidRDefault="4CAB940D" w14:paraId="0C8F1796" w14:textId="02703841">
      <w:r>
        <w:t xml:space="preserve"> </w:t>
      </w:r>
      <w:r w:rsidRPr="4CAB940D">
        <w:rPr>
          <w:b/>
          <w:bCs/>
        </w:rPr>
        <w:t>L29041 Community Governance</w:t>
      </w:r>
      <w:r>
        <w:t xml:space="preserve"> </w:t>
      </w:r>
      <w:r w:rsidRPr="4CAB940D">
        <w:rPr>
          <w:b/>
          <w:bCs/>
        </w:rPr>
        <w:t>(level 4).</w:t>
      </w:r>
      <w:r>
        <w:t xml:space="preserve"> </w:t>
      </w:r>
    </w:p>
    <w:p w:rsidR="00060EB6" w:rsidP="00060EB6" w:rsidRDefault="00060EB6" w14:paraId="68889375" w14:textId="77777777">
      <w:r>
        <w:t>Students are allowed 90 credits worth of re-sits.</w:t>
      </w:r>
    </w:p>
    <w:p w:rsidR="00060EB6" w:rsidP="00060EB6" w:rsidRDefault="00060EB6" w14:paraId="5A8DD1A9" w14:textId="77777777">
      <w:r>
        <w:t xml:space="preserve"> The CertHE award is classified as Pass, Merit or Distinction</w:t>
      </w:r>
    </w:p>
    <w:p w:rsidR="00060EB6" w:rsidP="00060EB6" w:rsidRDefault="00060EB6" w14:paraId="0DB1184A" w14:textId="77777777"/>
    <w:p w:rsidR="00060EB6" w:rsidP="00060EB6" w:rsidRDefault="00060EB6" w14:paraId="5DFD84D4" w14:textId="77777777">
      <w:r w:rsidRPr="00060EB6">
        <w:rPr>
          <w:b/>
        </w:rPr>
        <w:t>L29042 Community Governance (level 5)</w:t>
      </w:r>
      <w:r>
        <w:t>.</w:t>
      </w:r>
    </w:p>
    <w:p w:rsidR="4CAB940D" w:rsidRDefault="4CAB940D" w14:paraId="2695D45A" w14:textId="632A574C">
      <w:r>
        <w:t>The award is Foundation Degree, which is classified as Pass, Merit and Distinction.</w:t>
      </w:r>
    </w:p>
    <w:p w:rsidR="4CAB940D" w:rsidP="4CAB940D" w:rsidRDefault="4CAB940D" w14:paraId="07EC9FAB" w14:textId="14D7633D"/>
    <w:p w:rsidR="4CAB940D" w:rsidP="4CAB940D" w:rsidRDefault="4CAB940D" w14:paraId="2A8EC9FC" w14:textId="31ED3727">
      <w:pPr>
        <w:rPr>
          <w:b/>
          <w:bCs/>
        </w:rPr>
      </w:pPr>
      <w:r w:rsidRPr="4CAB940D">
        <w:rPr>
          <w:b/>
          <w:bCs/>
        </w:rPr>
        <w:t>PGCert Coaching.</w:t>
      </w:r>
    </w:p>
    <w:p w:rsidR="4CAB940D" w:rsidP="4CAB940D" w:rsidRDefault="4CAB940D" w14:paraId="29088E5A" w14:textId="531A39B8">
      <w:r>
        <w:t>Modules are weighted at 20 credits.</w:t>
      </w:r>
    </w:p>
    <w:p w:rsidR="0022727C" w:rsidP="4CAB940D" w:rsidRDefault="0022727C" w14:paraId="30253A8F" w14:textId="1F445D50"/>
    <w:p w:rsidR="0022727C" w:rsidP="4CAB940D" w:rsidRDefault="0022727C" w14:paraId="1CBC85FB" w14:textId="7F8967DB">
      <w:pPr>
        <w:rPr>
          <w:b/>
        </w:rPr>
      </w:pPr>
      <w:r w:rsidRPr="0022727C">
        <w:rPr>
          <w:b/>
        </w:rPr>
        <w:t>Executive MBA</w:t>
      </w:r>
    </w:p>
    <w:p w:rsidR="0022727C" w:rsidP="4CAB940D" w:rsidRDefault="0022727C" w14:paraId="55624574" w14:textId="173566A5">
      <w:r>
        <w:t xml:space="preserve">The </w:t>
      </w:r>
      <w:proofErr w:type="gramStart"/>
      <w:r w:rsidRPr="0022727C">
        <w:t>60 credit</w:t>
      </w:r>
      <w:proofErr w:type="gramEnd"/>
      <w:r w:rsidRPr="0022727C">
        <w:t xml:space="preserve"> dissertation/project module </w:t>
      </w:r>
      <w:r>
        <w:t>is not included in the award classification calculation.</w:t>
      </w:r>
    </w:p>
    <w:p w:rsidR="0022727C" w:rsidP="4CAB940D" w:rsidRDefault="0022727C" w14:paraId="74DE8B56" w14:textId="77777777"/>
    <w:p w:rsidRPr="0089728C" w:rsidR="0089728C" w:rsidP="0089728C" w:rsidRDefault="0089728C" w14:paraId="5FC96EF2" w14:textId="650318EE">
      <w:pPr>
        <w:rPr>
          <w:b/>
        </w:rPr>
      </w:pPr>
      <w:r w:rsidRPr="0089728C">
        <w:rPr>
          <w:b/>
        </w:rPr>
        <w:t xml:space="preserve"> LLB Law; LLB Law and Criminal Justice; LLB Human Rights and Social Justice; and LLB Business Law.</w:t>
      </w:r>
    </w:p>
    <w:p w:rsidRPr="0089728C" w:rsidR="0089728C" w:rsidP="0089728C" w:rsidRDefault="0089728C" w14:paraId="7270D899" w14:textId="0EDD530E">
      <w:r w:rsidRPr="0089728C">
        <w:t xml:space="preserve">For the purposes of professional requirements, to graduate with a Qualifying Law Degree a student on one of </w:t>
      </w:r>
      <w:r>
        <w:t>the</w:t>
      </w:r>
      <w:r w:rsidRPr="0089728C">
        <w:t xml:space="preserve"> LLB programmes can only be compensated in a maximum of one of the core modules</w:t>
      </w:r>
      <w:r>
        <w:t xml:space="preserve">, </w:t>
      </w:r>
      <w:r w:rsidRPr="0089728C">
        <w:t xml:space="preserve">provided that their mark for that module is at least 35.  </w:t>
      </w:r>
    </w:p>
    <w:p w:rsidR="0089728C" w:rsidP="0089728C" w:rsidRDefault="0089728C" w14:paraId="4EC1C3B6" w14:textId="77777777">
      <w:pPr>
        <w:rPr>
          <w:b/>
        </w:rPr>
      </w:pPr>
      <w:r w:rsidRPr="0089728C">
        <w:rPr>
          <w:b/>
        </w:rPr>
        <w:t xml:space="preserve">The core modules are:   </w:t>
      </w:r>
    </w:p>
    <w:p w:rsidR="0089728C" w:rsidP="0089728C" w:rsidRDefault="0089728C" w14:paraId="3D2EFBF4" w14:textId="4E849129">
      <w:pPr>
        <w:rPr>
          <w:b/>
        </w:rPr>
      </w:pPr>
      <w:r w:rsidRPr="0089728C">
        <w:rPr>
          <w:b/>
        </w:rPr>
        <w:t>Constitutional &amp; Administrative Law (LLBP10</w:t>
      </w:r>
      <w:r>
        <w:rPr>
          <w:b/>
        </w:rPr>
        <w:t>01)</w:t>
      </w:r>
    </w:p>
    <w:p w:rsidR="0089728C" w:rsidP="0089728C" w:rsidRDefault="0089728C" w14:paraId="05683296" w14:textId="1AAA245E">
      <w:pPr>
        <w:rPr>
          <w:b/>
        </w:rPr>
      </w:pPr>
      <w:r w:rsidRPr="0089728C">
        <w:rPr>
          <w:b/>
        </w:rPr>
        <w:t>English and European Legal Contexts (LLBP1002)</w:t>
      </w:r>
    </w:p>
    <w:p w:rsidR="0089728C" w:rsidP="0089728C" w:rsidRDefault="0089728C" w14:paraId="6CD1339F" w14:textId="5B516F91">
      <w:pPr>
        <w:rPr>
          <w:b/>
        </w:rPr>
      </w:pPr>
      <w:r w:rsidRPr="0089728C">
        <w:rPr>
          <w:b/>
        </w:rPr>
        <w:t>Contract Law (LLBP1</w:t>
      </w:r>
      <w:r>
        <w:rPr>
          <w:b/>
        </w:rPr>
        <w:t>003)</w:t>
      </w:r>
    </w:p>
    <w:p w:rsidR="0089728C" w:rsidP="0089728C" w:rsidRDefault="0089728C" w14:paraId="322354A6" w14:textId="77777777">
      <w:pPr>
        <w:rPr>
          <w:b/>
        </w:rPr>
      </w:pPr>
      <w:r w:rsidRPr="0089728C">
        <w:rPr>
          <w:b/>
        </w:rPr>
        <w:t>Criminal Law (LLBP1014)</w:t>
      </w:r>
    </w:p>
    <w:p w:rsidR="0089728C" w:rsidP="0089728C" w:rsidRDefault="0089728C" w14:paraId="6E23A0B6" w14:textId="77777777">
      <w:pPr>
        <w:rPr>
          <w:b/>
        </w:rPr>
      </w:pPr>
      <w:r w:rsidRPr="0089728C">
        <w:rPr>
          <w:b/>
        </w:rPr>
        <w:t>EU Public Law (LLBP2018)</w:t>
      </w:r>
    </w:p>
    <w:p w:rsidR="0089728C" w:rsidP="0089728C" w:rsidRDefault="0089728C" w14:paraId="0EE80C71" w14:textId="77777777">
      <w:pPr>
        <w:rPr>
          <w:b/>
        </w:rPr>
      </w:pPr>
      <w:r w:rsidRPr="0089728C">
        <w:rPr>
          <w:b/>
        </w:rPr>
        <w:t>Tort Law (LLBP2045)</w:t>
      </w:r>
    </w:p>
    <w:p w:rsidR="0089728C" w:rsidP="0089728C" w:rsidRDefault="0089728C" w14:paraId="2B79165D" w14:textId="77777777">
      <w:pPr>
        <w:rPr>
          <w:b/>
        </w:rPr>
      </w:pPr>
      <w:r w:rsidRPr="0089728C">
        <w:rPr>
          <w:b/>
        </w:rPr>
        <w:t>Land Law (LLBP2205)</w:t>
      </w:r>
    </w:p>
    <w:p w:rsidRPr="0089728C" w:rsidR="0089728C" w:rsidP="0089728C" w:rsidRDefault="0089728C" w14:paraId="12587226" w14:textId="70092FBB">
      <w:pPr>
        <w:rPr>
          <w:b/>
        </w:rPr>
      </w:pPr>
      <w:r w:rsidRPr="0089728C">
        <w:rPr>
          <w:b/>
        </w:rPr>
        <w:t>Criminal Law (LLBP3015)</w:t>
      </w:r>
    </w:p>
    <w:p w:rsidR="0022727C" w:rsidP="0089728C" w:rsidRDefault="0089728C" w14:paraId="66EF8469" w14:textId="26658096">
      <w:pPr>
        <w:rPr>
          <w:b/>
        </w:rPr>
      </w:pPr>
      <w:r w:rsidRPr="0089728C">
        <w:rPr>
          <w:b/>
        </w:rPr>
        <w:t>Equity and Trusts (LLBP3033).</w:t>
      </w:r>
    </w:p>
    <w:p w:rsidRPr="0022727C" w:rsidR="0089728C" w:rsidP="4CAB940D" w:rsidRDefault="0089728C" w14:paraId="4FD51D33" w14:textId="77777777">
      <w:pPr>
        <w:rPr>
          <w:b/>
        </w:rPr>
      </w:pPr>
    </w:p>
    <w:p w:rsidR="00060EB6" w:rsidP="00060EB6" w:rsidRDefault="00060EB6" w14:paraId="10D57981" w14:textId="77777777"/>
    <w:p w:rsidRPr="004F44A0" w:rsidR="00060EB6" w:rsidP="00060EB6" w:rsidRDefault="00060EB6" w14:paraId="68A2FE16" w14:textId="77777777">
      <w:pPr>
        <w:rPr>
          <w:b/>
        </w:rPr>
      </w:pPr>
    </w:p>
    <w:sectPr w:rsidRPr="004F44A0" w:rsidR="00060E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633B" w14:textId="77777777" w:rsidR="00A85834" w:rsidRDefault="00A85834" w:rsidP="0050472E">
      <w:pPr>
        <w:spacing w:after="0" w:line="240" w:lineRule="auto"/>
      </w:pPr>
      <w:r>
        <w:separator/>
      </w:r>
    </w:p>
  </w:endnote>
  <w:endnote w:type="continuationSeparator" w:id="0">
    <w:p w14:paraId="0D9E5F53" w14:textId="77777777" w:rsidR="00A85834" w:rsidRDefault="00A85834" w:rsidP="0050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744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4289" w14:textId="4C75C2D7" w:rsidR="0050472E" w:rsidRDefault="005047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ABF8A" w14:textId="77777777" w:rsidR="0050472E" w:rsidRDefault="00504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341D" w14:textId="77777777" w:rsidR="00A85834" w:rsidRDefault="00A85834" w:rsidP="0050472E">
      <w:pPr>
        <w:spacing w:after="0" w:line="240" w:lineRule="auto"/>
      </w:pPr>
      <w:r>
        <w:separator/>
      </w:r>
    </w:p>
  </w:footnote>
  <w:footnote w:type="continuationSeparator" w:id="0">
    <w:p w14:paraId="1E1100F7" w14:textId="77777777" w:rsidR="00A85834" w:rsidRDefault="00A85834" w:rsidP="0050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7472" w14:textId="38431C66" w:rsidR="0050472E" w:rsidRPr="0050472E" w:rsidRDefault="0050472E" w:rsidP="0050472E">
    <w:pPr>
      <w:pStyle w:val="Header"/>
      <w:jc w:val="right"/>
      <w:rPr>
        <w:rFonts w:ascii="Arial Black" w:hAnsi="Arial Black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B6"/>
    <w:rsid w:val="00060EB6"/>
    <w:rsid w:val="0022727C"/>
    <w:rsid w:val="0037198A"/>
    <w:rsid w:val="00394F1C"/>
    <w:rsid w:val="004F44A0"/>
    <w:rsid w:val="0050472E"/>
    <w:rsid w:val="00640918"/>
    <w:rsid w:val="006D2EF7"/>
    <w:rsid w:val="007055D8"/>
    <w:rsid w:val="0089728C"/>
    <w:rsid w:val="00A85834"/>
    <w:rsid w:val="00D20D59"/>
    <w:rsid w:val="00EA6E85"/>
    <w:rsid w:val="4CAB9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FF9E"/>
  <w15:chartTrackingRefBased/>
  <w15:docId w15:val="{8C309488-C256-4B96-A9A9-0BFD3C73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72E"/>
  </w:style>
  <w:style w:type="paragraph" w:styleId="Footer">
    <w:name w:val="footer"/>
    <w:basedOn w:val="Normal"/>
    <w:link w:val="FooterChar"/>
    <w:uiPriority w:val="99"/>
    <w:unhideWhenUsed/>
    <w:rsid w:val="0050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34624F4F99049BFBBA628A1633C9B" ma:contentTypeVersion="7" ma:contentTypeDescription="Create a new document." ma:contentTypeScope="" ma:versionID="03b20f90ae59a77ce433aa8d86d8a14e">
  <xsd:schema xmlns:xsd="http://www.w3.org/2001/XMLSchema" xmlns:xs="http://www.w3.org/2001/XMLSchema" xmlns:p="http://schemas.microsoft.com/office/2006/metadata/properties" xmlns:ns3="6a14fdf2-2768-4f2c-9ebd-7b467c1328e4" xmlns:ns4="6cc2edb8-7261-4cb2-bac6-de2113a152c9" targetNamespace="http://schemas.microsoft.com/office/2006/metadata/properties" ma:root="true" ma:fieldsID="f3fce0a8630144bb5dcd76807f818f3e" ns3:_="" ns4:_="">
    <xsd:import namespace="6a14fdf2-2768-4f2c-9ebd-7b467c1328e4"/>
    <xsd:import namespace="6cc2edb8-7261-4cb2-bac6-de2113a152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4fdf2-2768-4f2c-9ebd-7b467c132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edb8-7261-4cb2-bac6-de2113a15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92CDE-4D3E-42C4-A1B2-C974E2E54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4fdf2-2768-4f2c-9ebd-7b467c1328e4"/>
    <ds:schemaRef ds:uri="6cc2edb8-7261-4cb2-bac6-de2113a15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FAA95-FE37-402F-BBD6-E1BC47D55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9C395-90C0-49B1-9343-0CFC35068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specific regulations - BAL</dc:title>
  <dc:subject>
  </dc:subject>
  <dc:creator>Alison Statham</dc:creator>
  <cp:keywords>
  </cp:keywords>
  <dc:description>
  </dc:description>
  <cp:lastModifiedBy>Gita Patel</cp:lastModifiedBy>
  <cp:revision>4</cp:revision>
  <dcterms:created xsi:type="dcterms:W3CDTF">2021-01-28T08:18:00Z</dcterms:created>
  <dcterms:modified xsi:type="dcterms:W3CDTF">2021-09-28T12:22:53Z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0x0101006A334624F4F99049BFBBA628A1633C9B</vt:lpwstr>
  </property>
</Properties>
</file>