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59" w:rsidRDefault="00501859"/>
    <w:tbl>
      <w:tblPr>
        <w:tblW w:w="0" w:type="auto"/>
        <w:tblLook w:val="04A0" w:firstRow="1" w:lastRow="0" w:firstColumn="1" w:lastColumn="0" w:noHBand="0" w:noVBand="1"/>
      </w:tblPr>
      <w:tblGrid>
        <w:gridCol w:w="4344"/>
        <w:gridCol w:w="5521"/>
      </w:tblGrid>
      <w:tr w:rsidRPr="00130F05" w:rsidR="00130F05" w:rsidTr="00B33CC8">
        <w:trPr>
          <w:trHeight w:val="1507"/>
        </w:trPr>
        <w:tc>
          <w:tcPr>
            <w:tcW w:w="4503" w:type="dxa"/>
          </w:tcPr>
          <w:p w:rsidRPr="00130F05" w:rsidR="00130F05" w:rsidP="00130F05" w:rsidRDefault="00130F05">
            <w:pPr>
              <w:spacing w:after="0" w:line="276" w:lineRule="auto"/>
              <w:rPr>
                <w:rFonts w:ascii="Arial" w:hAnsi="Arial" w:eastAsia="Verdana" w:cs="Times New Roman"/>
                <w:color w:val="0D1621"/>
                <w:sz w:val="20"/>
                <w:szCs w:val="20"/>
              </w:rPr>
            </w:pPr>
            <w:r w:rsidRPr="00130F05">
              <w:rPr>
                <w:rFonts w:ascii="Arial" w:hAnsi="Arial" w:eastAsia="Verdana" w:cs="Times New Roman"/>
                <w:noProof/>
                <w:color w:val="0D1621"/>
                <w:sz w:val="20"/>
                <w:szCs w:val="20"/>
                <w:lang w:eastAsia="en-GB"/>
              </w:rPr>
              <w:drawing>
                <wp:inline distT="0" distB="0" distL="0" distR="0" wp14:anchorId="5304C033" wp14:editId="784E4089">
                  <wp:extent cx="1809750" cy="778582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08" cy="780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Pr="00130F05" w:rsidR="00130F05" w:rsidP="00130F05" w:rsidRDefault="00130F05">
            <w:pPr>
              <w:spacing w:after="0" w:line="276" w:lineRule="auto"/>
              <w:jc w:val="right"/>
              <w:rPr>
                <w:rFonts w:ascii="Arial" w:hAnsi="Arial" w:eastAsia="Verdana" w:cs="Times New Roman"/>
                <w:bCs/>
                <w:color w:val="0D1621"/>
                <w:sz w:val="28"/>
                <w:szCs w:val="28"/>
              </w:rPr>
            </w:pPr>
            <w:r w:rsidRPr="00130F05">
              <w:rPr>
                <w:rFonts w:ascii="Arial" w:hAnsi="Arial" w:eastAsia="Verdana" w:cs="Times New Roman"/>
                <w:b/>
                <w:color w:val="0D1621"/>
                <w:sz w:val="32"/>
                <w:szCs w:val="32"/>
              </w:rPr>
              <w:br/>
            </w:r>
          </w:p>
        </w:tc>
      </w:tr>
    </w:tbl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0"/>
          <w:szCs w:val="20"/>
        </w:rPr>
      </w:pPr>
    </w:p>
    <w:p w:rsidRPr="00130F05" w:rsidR="00130F05" w:rsidP="00130F05" w:rsidRDefault="00130F05">
      <w:pPr>
        <w:tabs>
          <w:tab w:val="left" w:pos="1485"/>
        </w:tabs>
        <w:spacing w:after="0" w:line="276" w:lineRule="auto"/>
        <w:rPr>
          <w:rFonts w:ascii="Arial" w:hAnsi="Arial" w:eastAsia="Verdana" w:cs="Times New Roman"/>
          <w:color w:val="1F497D"/>
          <w:sz w:val="20"/>
          <w:szCs w:val="20"/>
        </w:rPr>
      </w:pPr>
    </w:p>
    <w:p w:rsidRPr="00130F05" w:rsidR="00130F05" w:rsidP="00130F05" w:rsidRDefault="00130F05">
      <w:pPr>
        <w:tabs>
          <w:tab w:val="left" w:pos="1485"/>
        </w:tabs>
        <w:spacing w:after="0" w:line="276" w:lineRule="auto"/>
        <w:rPr>
          <w:rFonts w:ascii="Arial" w:hAnsi="Arial" w:eastAsia="Verdana" w:cs="Times New Roman"/>
          <w:color w:val="1F497D"/>
          <w:sz w:val="20"/>
          <w:szCs w:val="20"/>
        </w:rPr>
      </w:pPr>
    </w:p>
    <w:p w:rsidRPr="00130F05" w:rsidR="00130F05" w:rsidP="00130F05" w:rsidRDefault="00130F05">
      <w:pPr>
        <w:tabs>
          <w:tab w:val="left" w:pos="1485"/>
        </w:tabs>
        <w:spacing w:after="0" w:line="276" w:lineRule="auto"/>
        <w:rPr>
          <w:rFonts w:ascii="Arial" w:hAnsi="Arial" w:eastAsia="Verdana" w:cs="Times New Roman"/>
          <w:color w:val="1F497D"/>
          <w:sz w:val="20"/>
          <w:szCs w:val="20"/>
        </w:rPr>
      </w:pPr>
      <w:r w:rsidRPr="00130F05">
        <w:rPr>
          <w:rFonts w:ascii="Arial" w:hAnsi="Arial" w:eastAsia="Verdana" w:cs="Times New Roman"/>
          <w:noProof/>
          <w:color w:val="1F497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6AE995" wp14:anchorId="6D0ECA11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6437630" cy="1390650"/>
                <wp:effectExtent l="0" t="0" r="127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390650"/>
                        </a:xfrm>
                        <a:prstGeom prst="rect">
                          <a:avLst/>
                        </a:prstGeom>
                        <a:solidFill>
                          <a:srgbClr val="9D0E31"/>
                        </a:solidFill>
                        <a:ln w="12700" cap="flat" cmpd="sng" algn="ctr">
                          <a:solidFill>
                            <a:srgbClr val="DBE5F1">
                              <a:lumMod val="1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CD143C" w:rsidR="00130F05" w:rsidP="00130F05" w:rsidRDefault="00130F05">
                            <w:pPr>
                              <w:pStyle w:val="TitleHeader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ind w:left="227"/>
                              <w:rPr>
                                <w:sz w:val="40"/>
                                <w:szCs w:val="40"/>
                              </w:rPr>
                            </w:pPr>
                            <w:r w:rsidRPr="00CD143C">
                              <w:rPr>
                                <w:sz w:val="40"/>
                                <w:szCs w:val="40"/>
                              </w:rPr>
                              <w:t>Environmental Policy</w:t>
                            </w:r>
                          </w:p>
                          <w:p w:rsidR="00130F05" w:rsidP="00130F05" w:rsidRDefault="00130F05">
                            <w:pPr>
                              <w:pStyle w:val="TitleHeader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ind w:left="22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Pr="002D07EA" w:rsidR="00130F05" w:rsidP="00130F05" w:rsidRDefault="00130F05">
                            <w:pPr>
                              <w:pStyle w:val="TitleHeader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ind w:left="227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Version 1.</w:t>
                            </w:r>
                            <w:r w:rsidR="0067199C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2.5pt;margin-top:-.25pt;width:506.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9d0e31" strokecolor="#0d1621" strokeweight="1pt" w14:anchorId="6D0ECA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">
                <v:shadow color="#823b0b [1605]" opacity=".5" offset="1pt"/>
                <v:textbox>
                  <w:txbxContent>
                    <w:p w:rsidRPr="00CD143C" w:rsidR="00130F05" w:rsidP="00130F05" w:rsidRDefault="00130F05">
                      <w:pPr>
                        <w:pStyle w:val="TitleHeader"/>
                        <w:numPr>
                          <w:ilvl w:val="0"/>
                          <w:numId w:val="0"/>
                        </w:numPr>
                        <w:spacing w:before="0" w:line="240" w:lineRule="auto"/>
                        <w:ind w:left="227"/>
                        <w:rPr>
                          <w:sz w:val="40"/>
                          <w:szCs w:val="40"/>
                        </w:rPr>
                      </w:pPr>
                      <w:r w:rsidRPr="00CD143C">
                        <w:rPr>
                          <w:sz w:val="40"/>
                          <w:szCs w:val="40"/>
                        </w:rPr>
                        <w:t>Environmental Policy</w:t>
                      </w:r>
                    </w:p>
                    <w:p w:rsidR="00130F05" w:rsidP="00130F05" w:rsidRDefault="00130F05">
                      <w:pPr>
                        <w:pStyle w:val="TitleHeader"/>
                        <w:numPr>
                          <w:ilvl w:val="0"/>
                          <w:numId w:val="0"/>
                        </w:numPr>
                        <w:spacing w:before="0" w:line="240" w:lineRule="auto"/>
                        <w:ind w:left="227"/>
                        <w:rPr>
                          <w:sz w:val="28"/>
                          <w:szCs w:val="28"/>
                        </w:rPr>
                      </w:pPr>
                    </w:p>
                    <w:p w:rsidRPr="002D07EA" w:rsidR="00130F05" w:rsidP="00130F05" w:rsidRDefault="00130F05">
                      <w:pPr>
                        <w:pStyle w:val="TitleHeader"/>
                        <w:numPr>
                          <w:ilvl w:val="0"/>
                          <w:numId w:val="0"/>
                        </w:numPr>
                        <w:spacing w:before="0" w:line="240" w:lineRule="auto"/>
                        <w:ind w:left="227"/>
                        <w:rPr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Version 1.</w:t>
                      </w:r>
                      <w:r w:rsidR="0067199C">
                        <w:rPr>
                          <w:b w:val="0"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Pr="00130F05" w:rsidR="00130F05" w:rsidP="00130F05" w:rsidRDefault="00130F05">
      <w:pPr>
        <w:tabs>
          <w:tab w:val="left" w:pos="1485"/>
        </w:tabs>
        <w:spacing w:after="0" w:line="276" w:lineRule="auto"/>
        <w:rPr>
          <w:rFonts w:ascii="Arial" w:hAnsi="Arial" w:eastAsia="Verdana" w:cs="Times New Roman"/>
          <w:color w:val="1F497D"/>
          <w:sz w:val="20"/>
          <w:szCs w:val="20"/>
        </w:rPr>
      </w:pPr>
    </w:p>
    <w:p w:rsidRPr="00130F05" w:rsidR="00130F05" w:rsidP="00130F05" w:rsidRDefault="00130F05">
      <w:pPr>
        <w:tabs>
          <w:tab w:val="left" w:pos="1485"/>
        </w:tabs>
        <w:spacing w:after="0" w:line="276" w:lineRule="auto"/>
        <w:rPr>
          <w:rFonts w:ascii="Arial" w:hAnsi="Arial" w:eastAsia="Verdana" w:cs="Times New Roman"/>
          <w:color w:val="1F497D"/>
          <w:sz w:val="20"/>
          <w:szCs w:val="20"/>
        </w:rPr>
      </w:pPr>
    </w:p>
    <w:p w:rsidRPr="00130F05" w:rsidR="00130F05" w:rsidP="00130F05" w:rsidRDefault="00130F05">
      <w:pPr>
        <w:tabs>
          <w:tab w:val="left" w:pos="4554"/>
        </w:tabs>
        <w:spacing w:after="0" w:line="276" w:lineRule="auto"/>
        <w:rPr>
          <w:rFonts w:ascii="Arial" w:hAnsi="Arial" w:eastAsia="Verdana" w:cs="Times New Roman"/>
          <w:color w:val="0D1621"/>
          <w:sz w:val="20"/>
          <w:szCs w:val="20"/>
        </w:rPr>
      </w:pPr>
    </w:p>
    <w:p w:rsidRPr="00130F05" w:rsidR="00130F05" w:rsidP="00130F05" w:rsidRDefault="00130F05">
      <w:pPr>
        <w:tabs>
          <w:tab w:val="left" w:pos="4554"/>
        </w:tabs>
        <w:spacing w:after="0" w:line="276" w:lineRule="auto"/>
        <w:rPr>
          <w:rFonts w:ascii="Arial" w:hAnsi="Arial" w:eastAsia="Verdana" w:cs="Times New Roman"/>
          <w:color w:val="0D1621"/>
          <w:sz w:val="20"/>
          <w:szCs w:val="20"/>
        </w:rPr>
      </w:pPr>
    </w:p>
    <w:p w:rsidRPr="00130F05" w:rsidR="00130F05" w:rsidP="00130F05" w:rsidRDefault="00130F05">
      <w:pPr>
        <w:tabs>
          <w:tab w:val="left" w:pos="4554"/>
        </w:tabs>
        <w:spacing w:after="0" w:line="276" w:lineRule="auto"/>
        <w:rPr>
          <w:rFonts w:ascii="Arial" w:hAnsi="Arial" w:eastAsia="Verdana" w:cs="Times New Roman"/>
          <w:color w:val="0D1621"/>
          <w:sz w:val="20"/>
          <w:szCs w:val="20"/>
        </w:rPr>
      </w:pPr>
    </w:p>
    <w:p w:rsidRPr="00130F05" w:rsidR="00130F05" w:rsidP="00130F05" w:rsidRDefault="00130F05">
      <w:pPr>
        <w:tabs>
          <w:tab w:val="left" w:pos="4554"/>
        </w:tabs>
        <w:spacing w:after="0" w:line="276" w:lineRule="auto"/>
        <w:rPr>
          <w:rFonts w:ascii="Arial" w:hAnsi="Arial" w:eastAsia="Verdana" w:cs="Times New Roman"/>
          <w:color w:val="0D1621"/>
          <w:sz w:val="20"/>
          <w:szCs w:val="20"/>
        </w:rPr>
      </w:pPr>
    </w:p>
    <w:p w:rsidRPr="00130F05" w:rsidR="00130F05" w:rsidP="00130F05" w:rsidRDefault="00130F05">
      <w:pPr>
        <w:tabs>
          <w:tab w:val="left" w:pos="4554"/>
        </w:tabs>
        <w:spacing w:after="0" w:line="276" w:lineRule="auto"/>
        <w:rPr>
          <w:rFonts w:ascii="Arial" w:hAnsi="Arial" w:eastAsia="Verdana" w:cs="Times New Roman"/>
          <w:color w:val="0D1621"/>
          <w:sz w:val="20"/>
          <w:szCs w:val="20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0"/>
          <w:szCs w:val="20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rPr>
          <w:rFonts w:ascii="Arial" w:hAnsi="Arial" w:eastAsia="Verdana" w:cs="Times New Roman"/>
          <w:color w:val="0D1621"/>
          <w:sz w:val="28"/>
          <w:szCs w:val="28"/>
        </w:rPr>
      </w:pPr>
    </w:p>
    <w:p w:rsidRPr="00130F05" w:rsidR="00130F05" w:rsidP="00130F05" w:rsidRDefault="00130F05">
      <w:pPr>
        <w:spacing w:after="0" w:line="276" w:lineRule="auto"/>
        <w:ind w:left="147" w:right="45"/>
        <w:outlineLvl w:val="1"/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</w:pPr>
      <w:r w:rsidRPr="00130F05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>Date created: June 2008</w:t>
      </w:r>
    </w:p>
    <w:p w:rsidRPr="00130F05" w:rsidR="00130F05" w:rsidP="00130F05" w:rsidRDefault="00130F05">
      <w:pPr>
        <w:spacing w:after="0" w:line="276" w:lineRule="auto"/>
        <w:ind w:left="147" w:right="45"/>
        <w:outlineLvl w:val="1"/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</w:pPr>
      <w:r w:rsidRPr="00130F05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 xml:space="preserve">Last amended: </w:t>
      </w:r>
      <w:r w:rsidR="0067199C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>July 2022</w:t>
      </w:r>
    </w:p>
    <w:p w:rsidRPr="00130F05" w:rsidR="00130F05" w:rsidP="00130F05" w:rsidRDefault="00130F05">
      <w:pPr>
        <w:spacing w:after="0" w:line="276" w:lineRule="auto"/>
        <w:ind w:left="147" w:right="45"/>
        <w:outlineLvl w:val="1"/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</w:pPr>
      <w:r w:rsidRPr="00130F05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 xml:space="preserve">Amendment approved by: </w:t>
      </w:r>
      <w:r w:rsidR="0067199C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>University Leadership Board (ULB)</w:t>
      </w:r>
    </w:p>
    <w:p w:rsidRPr="00130F05" w:rsidR="00130F05" w:rsidP="00130F05" w:rsidRDefault="00130F05">
      <w:pPr>
        <w:spacing w:after="0" w:line="276" w:lineRule="auto"/>
        <w:ind w:left="147" w:right="45"/>
        <w:outlineLvl w:val="1"/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</w:pPr>
      <w:r w:rsidRPr="00130F05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 xml:space="preserve">Last review date: </w:t>
      </w:r>
      <w:r w:rsidR="00AA41D4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>July 2022</w:t>
      </w:r>
    </w:p>
    <w:p w:rsidRPr="00130F05" w:rsidR="00130F05" w:rsidP="00130F05" w:rsidRDefault="00130F05">
      <w:pPr>
        <w:spacing w:after="0" w:line="276" w:lineRule="auto"/>
        <w:ind w:left="147" w:right="45"/>
        <w:outlineLvl w:val="1"/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</w:pPr>
      <w:r w:rsidRPr="00130F05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 xml:space="preserve">Reviewed by: </w:t>
      </w:r>
      <w:r w:rsidR="00C13387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>University Leadership Board (ULB)</w:t>
      </w:r>
    </w:p>
    <w:p w:rsidRPr="001873E1" w:rsidR="00130F05" w:rsidP="001873E1" w:rsidRDefault="00130F05">
      <w:pPr>
        <w:spacing w:after="0" w:line="276" w:lineRule="auto"/>
        <w:ind w:left="147" w:right="45"/>
        <w:outlineLvl w:val="1"/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</w:pPr>
      <w:r w:rsidRPr="00130F05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 xml:space="preserve">Next review date:  </w:t>
      </w:r>
      <w:r w:rsidR="00C13387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>July</w:t>
      </w:r>
      <w:r w:rsidRPr="00130F05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 xml:space="preserve"> 202</w:t>
      </w:r>
      <w:r w:rsidR="00C13387">
        <w:rPr>
          <w:rFonts w:ascii="Arial" w:hAnsi="Arial" w:eastAsia="Times New Roman" w:cs="Arial"/>
          <w:bCs/>
          <w:color w:val="000000"/>
          <w:kern w:val="36"/>
          <w:sz w:val="16"/>
          <w:szCs w:val="16"/>
          <w:lang w:eastAsia="en-GB"/>
        </w:rPr>
        <w:t>3</w:t>
      </w:r>
    </w:p>
    <w:p w:rsidRPr="00130F05" w:rsidR="00130F05" w:rsidP="00130F05" w:rsidRDefault="00130F05">
      <w:pPr>
        <w:spacing w:before="600" w:after="0" w:line="276" w:lineRule="auto"/>
        <w:rPr>
          <w:rFonts w:ascii="Arial" w:hAnsi="Arial" w:eastAsia="Verdana" w:cs="Times New Roman"/>
          <w:b/>
          <w:color w:val="9D0E31"/>
          <w:sz w:val="56"/>
          <w:szCs w:val="56"/>
        </w:rPr>
      </w:pPr>
      <w:bookmarkStart w:name="_Toc29983768" w:id="0"/>
      <w:r w:rsidRPr="00130F05">
        <w:rPr>
          <w:rFonts w:ascii="Arial" w:hAnsi="Arial" w:eastAsia="Verdana" w:cs="Times New Roman"/>
          <w:b/>
          <w:color w:val="9D0E31"/>
          <w:sz w:val="56"/>
          <w:szCs w:val="56"/>
        </w:rPr>
        <w:lastRenderedPageBreak/>
        <w:t>Environmental Policy</w:t>
      </w:r>
      <w:bookmarkEnd w:id="0"/>
      <w:r w:rsidRPr="00130F05">
        <w:rPr>
          <w:rFonts w:ascii="Arial" w:hAnsi="Arial" w:eastAsia="Verdana" w:cs="Times New Roman"/>
          <w:b/>
          <w:color w:val="9D0E31"/>
          <w:sz w:val="56"/>
          <w:szCs w:val="56"/>
        </w:rPr>
        <w:t xml:space="preserve"> </w:t>
      </w:r>
      <w:r w:rsidRPr="00130F05">
        <w:rPr>
          <w:rFonts w:ascii="Arial" w:hAnsi="Arial" w:eastAsia="Verdana" w:cs="Times New Roman"/>
          <w:b/>
          <w:color w:val="9D0E31"/>
          <w:sz w:val="24"/>
          <w:szCs w:val="24"/>
        </w:rPr>
        <w:t>v1.</w:t>
      </w:r>
      <w:r w:rsidR="0067199C">
        <w:rPr>
          <w:rFonts w:ascii="Arial" w:hAnsi="Arial" w:eastAsia="Verdana" w:cs="Times New Roman"/>
          <w:b/>
          <w:color w:val="9D0E31"/>
          <w:sz w:val="24"/>
          <w:szCs w:val="24"/>
        </w:rPr>
        <w:t>4</w:t>
      </w:r>
    </w:p>
    <w:p w:rsidRPr="00130F05" w:rsidR="00130F05" w:rsidP="00130F05" w:rsidRDefault="00130F05">
      <w:pPr>
        <w:spacing w:after="120" w:line="276" w:lineRule="auto"/>
        <w:ind w:right="45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>Our aim is to continue to develop the university’s estate in a way which provides</w:t>
      </w:r>
      <w:r w:rsidR="007419CE">
        <w:rPr>
          <w:rFonts w:ascii="Arial" w:hAnsi="Arial" w:eastAsia="Times New Roman" w:cs="Arial"/>
          <w:color w:val="0D1621"/>
          <w:lang w:eastAsia="en-GB"/>
        </w:rPr>
        <w:t xml:space="preserve"> a</w:t>
      </w:r>
      <w:r w:rsidRPr="00130F05">
        <w:rPr>
          <w:rFonts w:ascii="Arial" w:hAnsi="Arial" w:eastAsia="Times New Roman" w:cs="Arial"/>
          <w:color w:val="0D1621"/>
          <w:lang w:eastAsia="en-GB"/>
        </w:rPr>
        <w:t xml:space="preserve"> </w:t>
      </w:r>
      <w:proofErr w:type="gramStart"/>
      <w:r w:rsidRPr="00130F05">
        <w:rPr>
          <w:rFonts w:ascii="Arial" w:hAnsi="Arial" w:eastAsia="Times New Roman" w:cs="Arial"/>
          <w:color w:val="0D1621"/>
          <w:lang w:eastAsia="en-GB"/>
        </w:rPr>
        <w:t>first class</w:t>
      </w:r>
      <w:proofErr w:type="gramEnd"/>
      <w:r w:rsidRPr="00130F05">
        <w:rPr>
          <w:rFonts w:ascii="Arial" w:hAnsi="Arial" w:eastAsia="Times New Roman" w:cs="Arial"/>
          <w:color w:val="0D1621"/>
          <w:lang w:eastAsia="en-GB"/>
        </w:rPr>
        <w:t xml:space="preserve"> teaching, learning and research environment whilst reducing the environmental impact of our activities and services.</w:t>
      </w:r>
    </w:p>
    <w:p w:rsidRPr="00130F05" w:rsidR="00130F05" w:rsidP="00130F05" w:rsidRDefault="00130F05">
      <w:pPr>
        <w:spacing w:before="120" w:after="120" w:line="276" w:lineRule="auto"/>
        <w:ind w:right="45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>We are committed to continually improve our environmental performance through effective and appropriate environmental management practices. The univers</w:t>
      </w:r>
      <w:r w:rsidR="007419CE">
        <w:rPr>
          <w:rFonts w:ascii="Arial" w:hAnsi="Arial" w:eastAsia="Times New Roman" w:cs="Arial"/>
          <w:color w:val="0D1621"/>
          <w:lang w:eastAsia="en-GB"/>
        </w:rPr>
        <w:t>ity</w:t>
      </w:r>
      <w:r w:rsidRPr="00130F05">
        <w:rPr>
          <w:rFonts w:ascii="Arial" w:hAnsi="Arial" w:eastAsia="Times New Roman" w:cs="Arial"/>
          <w:color w:val="0D1621"/>
          <w:lang w:eastAsia="en-GB"/>
        </w:rPr>
        <w:t xml:space="preserve"> </w:t>
      </w:r>
      <w:r w:rsidR="007419CE">
        <w:rPr>
          <w:rFonts w:ascii="Arial" w:hAnsi="Arial" w:eastAsia="Times New Roman" w:cs="Arial"/>
          <w:color w:val="0D1621"/>
          <w:lang w:eastAsia="en-GB"/>
        </w:rPr>
        <w:t xml:space="preserve">is </w:t>
      </w:r>
      <w:r w:rsidRPr="00130F05">
        <w:rPr>
          <w:rFonts w:ascii="Arial" w:hAnsi="Arial" w:eastAsia="Times New Roman" w:cs="Arial"/>
          <w:color w:val="0D1621"/>
          <w:lang w:eastAsia="en-GB"/>
        </w:rPr>
        <w:t xml:space="preserve">committed to continually improve </w:t>
      </w:r>
      <w:r w:rsidR="007419CE">
        <w:rPr>
          <w:rFonts w:ascii="Arial" w:hAnsi="Arial" w:eastAsia="Times New Roman" w:cs="Arial"/>
          <w:color w:val="0D1621"/>
          <w:lang w:eastAsia="en-GB"/>
        </w:rPr>
        <w:t>and</w:t>
      </w:r>
      <w:r w:rsidRPr="00130F05">
        <w:rPr>
          <w:rFonts w:ascii="Arial" w:hAnsi="Arial" w:eastAsia="Times New Roman" w:cs="Arial"/>
          <w:color w:val="0D1621"/>
          <w:lang w:eastAsia="en-GB"/>
        </w:rPr>
        <w:t xml:space="preserve"> enhance environmental performance</w:t>
      </w:r>
      <w:r w:rsidR="007419CE">
        <w:rPr>
          <w:rFonts w:ascii="Arial" w:hAnsi="Arial" w:eastAsia="Times New Roman" w:cs="Arial"/>
          <w:color w:val="0D1621"/>
          <w:lang w:eastAsia="en-GB"/>
        </w:rPr>
        <w:t xml:space="preserve"> through its environmental management system.</w:t>
      </w:r>
    </w:p>
    <w:p w:rsidRPr="00130F05" w:rsidR="00130F05" w:rsidP="00130F05" w:rsidRDefault="00130F05">
      <w:pPr>
        <w:spacing w:before="120" w:after="120" w:line="276" w:lineRule="auto"/>
        <w:ind w:right="45"/>
        <w:rPr>
          <w:rFonts w:ascii="Arial" w:hAnsi="Arial" w:eastAsia="Times New Roman" w:cs="Arial"/>
          <w:b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>We are also committed to publicly promoting this policy and our performance in these areas.</w:t>
      </w:r>
    </w:p>
    <w:p w:rsidRPr="00130F05" w:rsidR="00130F05" w:rsidP="00130F05" w:rsidRDefault="00130F05">
      <w:pPr>
        <w:spacing w:after="0" w:line="276" w:lineRule="auto"/>
        <w:ind w:right="45"/>
        <w:rPr>
          <w:rFonts w:ascii="Arial" w:hAnsi="Arial" w:eastAsia="Times New Roman" w:cs="Arial"/>
          <w:b/>
          <w:color w:val="0D1621"/>
          <w:lang w:eastAsia="en-GB"/>
        </w:rPr>
      </w:pPr>
      <w:r w:rsidRPr="00130F05">
        <w:rPr>
          <w:rFonts w:ascii="Arial" w:hAnsi="Arial" w:eastAsia="Times New Roman" w:cs="Arial"/>
          <w:b/>
          <w:color w:val="0D1621"/>
          <w:lang w:eastAsia="en-GB"/>
        </w:rPr>
        <w:t xml:space="preserve">It is our policy </w:t>
      </w:r>
      <w:proofErr w:type="gramStart"/>
      <w:r w:rsidRPr="00130F05">
        <w:rPr>
          <w:rFonts w:ascii="Arial" w:hAnsi="Arial" w:eastAsia="Times New Roman" w:cs="Arial"/>
          <w:b/>
          <w:color w:val="0D1621"/>
          <w:lang w:eastAsia="en-GB"/>
        </w:rPr>
        <w:t>to:-</w:t>
      </w:r>
      <w:proofErr w:type="gramEnd"/>
      <w:r w:rsidRPr="00130F05">
        <w:rPr>
          <w:rFonts w:ascii="Arial" w:hAnsi="Arial" w:eastAsia="Times New Roman" w:cs="Arial"/>
          <w:b/>
          <w:color w:val="0D1621"/>
          <w:lang w:eastAsia="en-GB"/>
        </w:rPr>
        <w:t xml:space="preserve"> 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Verdana" w:cs="Arial"/>
          <w:color w:val="0D1621"/>
        </w:rPr>
      </w:pPr>
      <w:r w:rsidRPr="00130F05">
        <w:rPr>
          <w:rFonts w:ascii="Arial" w:hAnsi="Arial" w:eastAsia="Verdana" w:cs="Arial"/>
          <w:color w:val="0D1621"/>
        </w:rPr>
        <w:t xml:space="preserve">Take a strategic and operational approach to controlling, managing and reducing our greenhouse gas emissions and in adapting to the impacts of climate change 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Verdana" w:cs="Arial"/>
          <w:color w:val="0D1621"/>
        </w:rPr>
      </w:pPr>
      <w:r w:rsidRPr="00130F05">
        <w:rPr>
          <w:rFonts w:ascii="Arial" w:hAnsi="Arial" w:eastAsia="Verdana" w:cs="Arial"/>
          <w:color w:val="0D1621"/>
        </w:rPr>
        <w:t>Embed education for sustainable development issues into our teaching, learning and research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 xml:space="preserve">Ensure that all developments </w:t>
      </w:r>
      <w:proofErr w:type="gramStart"/>
      <w:r w:rsidRPr="00130F05">
        <w:rPr>
          <w:rFonts w:ascii="Arial" w:hAnsi="Arial" w:eastAsia="Times New Roman" w:cs="Arial"/>
          <w:color w:val="0D1621"/>
          <w:lang w:eastAsia="en-GB"/>
        </w:rPr>
        <w:t>take into account</w:t>
      </w:r>
      <w:proofErr w:type="gramEnd"/>
      <w:r w:rsidRPr="00130F05">
        <w:rPr>
          <w:rFonts w:ascii="Arial" w:hAnsi="Arial" w:eastAsia="Times New Roman" w:cs="Arial"/>
          <w:color w:val="0D1621"/>
          <w:lang w:eastAsia="en-GB"/>
        </w:rPr>
        <w:t xml:space="preserve"> sustainable construction principles and avoid the use of environmentally damaging substances, materials and processes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 xml:space="preserve">Enhance DMU’s place in the community through proactively working with local, regional and national organisations to promote a better environment and encourage best practice principles 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>Communicate environmental and sustainability principles to our staff and students to promote understanding of environmental and sustainability issues and encourage university wide participation in environmental activities, training and programmes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Verdana" w:cs="Arial"/>
          <w:color w:val="0D1621"/>
        </w:rPr>
      </w:pPr>
      <w:r w:rsidRPr="00130F05">
        <w:rPr>
          <w:rFonts w:ascii="Arial" w:hAnsi="Arial" w:eastAsia="Verdana" w:cs="Arial"/>
          <w:color w:val="0D1621"/>
        </w:rPr>
        <w:t>Encourage the use of recycled materials and implement recycling and waste minimisation initiatives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Verdana" w:cs="Arial"/>
          <w:color w:val="0D1621"/>
        </w:rPr>
      </w:pPr>
      <w:r w:rsidRPr="00130F05">
        <w:rPr>
          <w:rFonts w:ascii="Arial" w:hAnsi="Arial" w:eastAsia="Verdana" w:cs="Arial"/>
          <w:color w:val="0D1621"/>
        </w:rPr>
        <w:t xml:space="preserve">Encourage environmentally friendly forms of transport through the implementation of our Travel Plan to reduce the university’s carbon footprint and support staff and student </w:t>
      </w:r>
      <w:r w:rsidR="007419CE">
        <w:rPr>
          <w:rFonts w:ascii="Arial" w:hAnsi="Arial" w:eastAsia="Verdana" w:cs="Arial"/>
          <w:color w:val="0D1621"/>
        </w:rPr>
        <w:t xml:space="preserve">health and </w:t>
      </w:r>
      <w:r w:rsidRPr="00130F05">
        <w:rPr>
          <w:rFonts w:ascii="Arial" w:hAnsi="Arial" w:eastAsia="Verdana" w:cs="Arial"/>
          <w:color w:val="0D1621"/>
        </w:rPr>
        <w:t>wellbeing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Verdana" w:cs="Arial"/>
          <w:color w:val="0D1621"/>
        </w:rPr>
      </w:pPr>
      <w:r w:rsidRPr="00130F05">
        <w:rPr>
          <w:rFonts w:ascii="Arial" w:hAnsi="Arial" w:eastAsia="Verdana" w:cs="Arial"/>
          <w:color w:val="0D1621"/>
        </w:rPr>
        <w:t>Measure and report greenhouse gas emissions arising from our business travel activities and subsidised student study trips and encourage low carbon forms of travel in these areas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>Reduce our use of natural resources such as energy and water and reuse resources whenever possible to improve environmental performance and reduce the university’s carbon footprint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>Encourage environmentally-responsible procurement through our sustainable procurement policy and practices, and engage with our suppliers to encourage sustainability in our supply chain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>Enhance biodiversity on our campus and incorporate biodiversity into our estate management practices to create new wildlife habitats on campus where possible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Verdana" w:cs="Arial"/>
          <w:color w:val="0D1621"/>
        </w:rPr>
        <w:t xml:space="preserve">Incorporate environmental responsibility in all staff job descriptions </w:t>
      </w:r>
    </w:p>
    <w:p w:rsidRPr="00130F05"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35" w:after="100" w:afterAutospacing="1" w:line="240" w:lineRule="auto"/>
        <w:ind w:left="426" w:hanging="426"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>Prevent pollution by reducing emissions and discharges and regularly review our practice against benchmarks</w:t>
      </w:r>
    </w:p>
    <w:p w:rsidR="00130F05" w:rsidP="00130F05" w:rsidRDefault="00130F0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20" w:after="120" w:line="240" w:lineRule="auto"/>
        <w:ind w:left="425" w:hanging="425"/>
        <w:rPr>
          <w:rFonts w:ascii="Arial" w:hAnsi="Arial" w:eastAsia="Verdana" w:cs="Arial"/>
          <w:color w:val="0D1621"/>
        </w:rPr>
      </w:pPr>
      <w:r w:rsidRPr="00130F05">
        <w:rPr>
          <w:rFonts w:ascii="Arial" w:hAnsi="Arial" w:eastAsia="Verdana" w:cs="Arial"/>
          <w:color w:val="0D1621"/>
        </w:rPr>
        <w:t>Comply with all relevant environmental legislation, regulations and codes of practice</w:t>
      </w:r>
    </w:p>
    <w:p w:rsidRPr="00130F05" w:rsidR="007419CE" w:rsidP="00130F05" w:rsidRDefault="007419CE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20" w:after="120" w:line="240" w:lineRule="auto"/>
        <w:ind w:left="425" w:hanging="425"/>
        <w:rPr>
          <w:rFonts w:ascii="Arial" w:hAnsi="Arial" w:eastAsia="Verdana" w:cs="Arial"/>
          <w:color w:val="0D1621"/>
        </w:rPr>
      </w:pPr>
      <w:r>
        <w:rPr>
          <w:rFonts w:ascii="Arial" w:hAnsi="Arial" w:eastAsia="Verdana" w:cs="Arial"/>
          <w:color w:val="0D1621"/>
        </w:rPr>
        <w:t>Work with our educational partners to encourage good environmental management practices in partnership campuses</w:t>
      </w:r>
    </w:p>
    <w:p w:rsidRPr="00130F05" w:rsidR="00130F05" w:rsidP="00130F05" w:rsidRDefault="00130F05">
      <w:pPr>
        <w:spacing w:after="0" w:line="276" w:lineRule="auto"/>
        <w:ind w:right="45"/>
        <w:contextualSpacing/>
        <w:rPr>
          <w:rFonts w:ascii="Arial" w:hAnsi="Arial" w:eastAsia="Times New Roman" w:cs="Arial"/>
          <w:color w:val="0D1621"/>
          <w:lang w:eastAsia="en-GB"/>
        </w:rPr>
      </w:pPr>
      <w:r w:rsidRPr="00130F05">
        <w:rPr>
          <w:rFonts w:ascii="Arial" w:hAnsi="Arial" w:eastAsia="Times New Roman" w:cs="Arial"/>
          <w:color w:val="0D1621"/>
          <w:lang w:eastAsia="en-GB"/>
        </w:rPr>
        <w:t xml:space="preserve">To ensure the effective implementation of this policy we will set appropriate objectives and targets which will be reviewed on a regular basis. </w:t>
      </w:r>
    </w:p>
    <w:p w:rsidR="00F54B76" w:rsidP="003B5CF1" w:rsidRDefault="00130F05">
      <w:pPr>
        <w:spacing w:before="120" w:after="0" w:line="276" w:lineRule="auto"/>
        <w:ind w:right="45"/>
      </w:pPr>
      <w:r w:rsidRPr="00130F05">
        <w:rPr>
          <w:rFonts w:ascii="Arial" w:hAnsi="Arial" w:eastAsia="Times New Roman" w:cs="Arial"/>
          <w:color w:val="0D1621"/>
          <w:lang w:eastAsia="en-GB"/>
        </w:rPr>
        <w:t>We will also review this policy on a regular basis to ensure it remains appropriate to the nature, scale and environmental impacts of our activities, products and services.</w:t>
      </w:r>
      <w:bookmarkStart w:name="_GoBack" w:id="1"/>
      <w:bookmarkEnd w:id="1"/>
    </w:p>
    <w:sectPr w:rsidR="00F54B76" w:rsidSect="00F54B76">
      <w:pgSz w:w="11906" w:h="16838"/>
      <w:pgMar w:top="964" w:right="1077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B7B"/>
    <w:multiLevelType w:val="hybridMultilevel"/>
    <w:tmpl w:val="D48C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38DF"/>
    <w:multiLevelType w:val="multilevel"/>
    <w:tmpl w:val="218C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157D0"/>
    <w:multiLevelType w:val="hybridMultilevel"/>
    <w:tmpl w:val="4480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3F77"/>
    <w:multiLevelType w:val="hybridMultilevel"/>
    <w:tmpl w:val="EFDE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452A"/>
    <w:multiLevelType w:val="hybridMultilevel"/>
    <w:tmpl w:val="4D7A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270B"/>
    <w:multiLevelType w:val="hybridMultilevel"/>
    <w:tmpl w:val="39B8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106A8"/>
    <w:multiLevelType w:val="hybridMultilevel"/>
    <w:tmpl w:val="E8884F46"/>
    <w:lvl w:ilvl="0" w:tplc="C8E81094">
      <w:start w:val="1"/>
      <w:numFmt w:val="bullet"/>
      <w:pStyle w:val="TitleHeader"/>
      <w:lvlText w:val="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F980510"/>
    <w:multiLevelType w:val="hybridMultilevel"/>
    <w:tmpl w:val="B6F8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59"/>
    <w:rsid w:val="00130F05"/>
    <w:rsid w:val="00176D0E"/>
    <w:rsid w:val="001873E1"/>
    <w:rsid w:val="001B360B"/>
    <w:rsid w:val="001E7CF2"/>
    <w:rsid w:val="003407E6"/>
    <w:rsid w:val="003B5CF1"/>
    <w:rsid w:val="004B2496"/>
    <w:rsid w:val="00501859"/>
    <w:rsid w:val="0054271E"/>
    <w:rsid w:val="0067199C"/>
    <w:rsid w:val="007419CE"/>
    <w:rsid w:val="00AA41D4"/>
    <w:rsid w:val="00C13387"/>
    <w:rsid w:val="00DD01A8"/>
    <w:rsid w:val="00F54B7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D066"/>
  <w15:chartTrackingRefBased/>
  <w15:docId w15:val="{EA7FA1EF-91DD-46B4-9E20-4C9A69F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er">
    <w:name w:val="Title Header"/>
    <w:basedOn w:val="ListParagraph"/>
    <w:link w:val="TitleHeaderChar"/>
    <w:qFormat/>
    <w:rsid w:val="00130F05"/>
    <w:pPr>
      <w:numPr>
        <w:numId w:val="1"/>
      </w:numPr>
      <w:spacing w:before="120" w:after="0" w:line="276" w:lineRule="auto"/>
      <w:ind w:hanging="357"/>
    </w:pPr>
    <w:rPr>
      <w:rFonts w:ascii="Arial" w:hAnsi="Arial" w:cs="Arial"/>
      <w:b/>
      <w:color w:val="FFFFFF"/>
      <w:sz w:val="32"/>
      <w:szCs w:val="32"/>
    </w:rPr>
  </w:style>
  <w:style w:type="character" w:customStyle="1" w:styleId="TitleHeaderChar">
    <w:name w:val="Title Header Char"/>
    <w:basedOn w:val="DefaultParagraphFont"/>
    <w:link w:val="TitleHeader"/>
    <w:rsid w:val="00130F05"/>
    <w:rPr>
      <w:rFonts w:ascii="Arial" w:hAnsi="Arial" w:cs="Arial"/>
      <w:b/>
      <w:color w:val="FFFFF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Sustainability Policy</dc:title>
  <dc:subject>
  </dc:subject>
  <dc:creator>Karl Letten</dc:creator>
  <cp:keywords>
  </cp:keywords>
  <dc:description>
  </dc:description>
  <cp:lastModifiedBy>Mark Hopkins</cp:lastModifiedBy>
  <cp:revision>4</cp:revision>
  <dcterms:created xsi:type="dcterms:W3CDTF">2022-07-05T13:32:00Z</dcterms:created>
  <dcterms:modified xsi:type="dcterms:W3CDTF">2022-07-05T13:47:50Z</dcterms:modified>
</cp:coreProperties>
</file>