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11630" w:rsidR="00E11630" w:rsidP="00E11630" w:rsidRDefault="00E11630">
      <w:pPr>
        <w:jc w:val="center"/>
        <w:rPr>
          <w:rFonts w:eastAsia="Arial" w:cs="Arial"/>
          <w:b/>
          <w:sz w:val="28"/>
          <w:szCs w:val="28"/>
          <w:lang w:val="en-US" w:eastAsia="en-US"/>
        </w:rPr>
      </w:pPr>
      <w:r w:rsidRPr="00E11630">
        <w:rPr>
          <w:rFonts w:eastAsia="Arial" w:cs="Arial"/>
          <w:b/>
          <w:sz w:val="28"/>
          <w:szCs w:val="28"/>
          <w:lang w:val="en-US" w:eastAsia="en-US"/>
        </w:rPr>
        <w:t xml:space="preserve">Learning Resources </w:t>
      </w:r>
      <w:r>
        <w:rPr>
          <w:rFonts w:eastAsia="Arial" w:cs="Arial"/>
          <w:b/>
          <w:sz w:val="28"/>
          <w:szCs w:val="28"/>
          <w:lang w:val="en-US" w:eastAsia="en-US"/>
        </w:rPr>
        <w:t>at the partner institution</w:t>
      </w:r>
    </w:p>
    <w:p w:rsidRPr="00E11630" w:rsidR="00E11630" w:rsidP="00E11630" w:rsidRDefault="00E11630">
      <w:pPr>
        <w:keepNext/>
        <w:outlineLvl w:val="0"/>
        <w:rPr>
          <w:rFonts w:eastAsia="Arial" w:cs="Arial"/>
          <w:b/>
          <w:bCs/>
          <w:color w:val="000000"/>
          <w:sz w:val="16"/>
          <w:szCs w:val="16"/>
          <w:lang w:val="en-US" w:eastAsia="en-US"/>
        </w:rPr>
      </w:pPr>
    </w:p>
    <w:p w:rsidRPr="00E11630" w:rsidR="00E11630" w:rsidP="00E11630" w:rsidRDefault="00E11630">
      <w:pPr>
        <w:rPr>
          <w:rFonts w:eastAsia="Arial" w:cs="Arial"/>
          <w:bCs/>
          <w:color w:val="000000"/>
          <w:szCs w:val="22"/>
          <w:lang w:val="en-US" w:eastAsia="en-US"/>
        </w:rPr>
      </w:pPr>
      <w:r>
        <w:rPr>
          <w:rFonts w:eastAsia="Arial" w:cs="Arial"/>
          <w:bCs/>
          <w:color w:val="000000"/>
          <w:szCs w:val="22"/>
          <w:lang w:val="en-US" w:eastAsia="en-US"/>
        </w:rPr>
        <w:t xml:space="preserve">To be completed by the partner for the partner institution, in preparation for a validation event. Below are </w:t>
      </w:r>
      <w:r w:rsidRPr="00E11630">
        <w:rPr>
          <w:rFonts w:eastAsia="Arial" w:cs="Arial"/>
          <w:bCs/>
          <w:color w:val="000000"/>
          <w:szCs w:val="22"/>
          <w:lang w:val="en-US" w:eastAsia="en-US"/>
        </w:rPr>
        <w:t>areas for consideration by validation/review panels when looking at learning resources for collaborative provision</w:t>
      </w:r>
      <w:r>
        <w:rPr>
          <w:rFonts w:eastAsia="Arial" w:cs="Arial"/>
          <w:bCs/>
          <w:color w:val="000000"/>
          <w:szCs w:val="22"/>
          <w:lang w:val="en-US" w:eastAsia="en-US"/>
        </w:rPr>
        <w:t>.</w:t>
      </w:r>
    </w:p>
    <w:p w:rsidRPr="00E11630" w:rsidR="00E11630" w:rsidP="00E11630" w:rsidRDefault="00E11630">
      <w:pPr>
        <w:keepNext/>
        <w:ind w:left="360"/>
        <w:outlineLvl w:val="0"/>
        <w:rPr>
          <w:rFonts w:ascii="Times New Roman" w:hAnsi="Times New Roman" w:eastAsia="Arial"/>
          <w:b/>
          <w:bCs/>
          <w:sz w:val="16"/>
          <w:szCs w:val="16"/>
          <w:lang w:val="en-US" w:eastAsia="en-US"/>
        </w:rPr>
      </w:pPr>
    </w:p>
    <w:p w:rsidRPr="00E11630" w:rsidR="00E11630" w:rsidP="00E11630" w:rsidRDefault="00E11630">
      <w:pPr>
        <w:rPr>
          <w:rFonts w:ascii="Times New Roman" w:hAnsi="Times New Roman" w:eastAsia="Arial"/>
          <w:sz w:val="16"/>
          <w:szCs w:val="16"/>
          <w:lang w:val="en-US"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5"/>
        <w:gridCol w:w="4617"/>
      </w:tblGrid>
      <w:tr w:rsidRPr="00E11630" w:rsidR="00E11630" w:rsidTr="002454B0">
        <w:tc>
          <w:tcPr>
            <w:tcW w:w="4625" w:type="dxa"/>
            <w:tcBorders>
              <w:bottom w:val="single" w:color="auto" w:sz="4" w:space="0"/>
            </w:tcBorders>
            <w:shd w:val="clear" w:color="auto" w:fill="auto"/>
          </w:tcPr>
          <w:p w:rsidRPr="00E11630" w:rsidR="00E11630" w:rsidP="00E11630" w:rsidRDefault="00E11630">
            <w:pPr>
              <w:keepNext/>
              <w:spacing w:before="80" w:after="80"/>
              <w:outlineLvl w:val="0"/>
              <w:rPr>
                <w:rFonts w:eastAsia="Arial" w:cs="Arial"/>
                <w:b/>
                <w:bCs/>
                <w:color w:val="000000"/>
                <w:szCs w:val="22"/>
                <w:lang w:val="en-US" w:eastAsia="en-US"/>
              </w:rPr>
            </w:pPr>
            <w:r w:rsidRPr="00E11630">
              <w:rPr>
                <w:rFonts w:eastAsia="Arial" w:cs="Arial"/>
                <w:b/>
                <w:bCs/>
                <w:color w:val="000000"/>
                <w:szCs w:val="22"/>
                <w:lang w:val="en-US" w:eastAsia="en-US"/>
              </w:rPr>
              <w:t xml:space="preserve">Name of partner institution: </w:t>
            </w:r>
          </w:p>
        </w:tc>
        <w:tc>
          <w:tcPr>
            <w:tcW w:w="4617" w:type="dxa"/>
            <w:tcBorders>
              <w:bottom w:val="single" w:color="auto" w:sz="4" w:space="0"/>
            </w:tcBorders>
            <w:shd w:val="clear" w:color="auto" w:fill="auto"/>
          </w:tcPr>
          <w:p w:rsidRPr="00E11630" w:rsidR="00E11630" w:rsidP="00E11630" w:rsidRDefault="00E11630">
            <w:pPr>
              <w:spacing w:before="80" w:after="80"/>
              <w:rPr>
                <w:rFonts w:ascii="Times New Roman" w:hAnsi="Times New Roman" w:eastAsia="Arial"/>
                <w:sz w:val="20"/>
                <w:szCs w:val="20"/>
                <w:lang w:val="en-US" w:eastAsia="en-US"/>
              </w:rPr>
            </w:pPr>
          </w:p>
        </w:tc>
      </w:tr>
      <w:tr w:rsidRPr="00E11630" w:rsidR="00E11630" w:rsidTr="002454B0">
        <w:tc>
          <w:tcPr>
            <w:tcW w:w="9242" w:type="dxa"/>
            <w:gridSpan w:val="2"/>
            <w:shd w:val="clear" w:color="auto" w:fill="F2F2F2"/>
          </w:tcPr>
          <w:p w:rsidRPr="00E11630" w:rsidR="00E11630" w:rsidP="00E11630" w:rsidRDefault="00E11630">
            <w:pPr>
              <w:rPr>
                <w:rFonts w:eastAsia="Times New Roman"/>
                <w:b/>
                <w:szCs w:val="22"/>
                <w:lang w:val="en-US" w:eastAsia="en-US"/>
              </w:rPr>
            </w:pPr>
            <w:r w:rsidRPr="00E11630">
              <w:rPr>
                <w:rFonts w:eastAsia="Times New Roman"/>
                <w:b/>
                <w:szCs w:val="22"/>
                <w:lang w:val="en-US" w:eastAsia="en-US"/>
              </w:rPr>
              <w:t>Budget</w:t>
            </w:r>
          </w:p>
          <w:p w:rsidRPr="00E11630" w:rsidR="00E11630" w:rsidP="00E11630" w:rsidRDefault="00E11630">
            <w:pPr>
              <w:rPr>
                <w:rFonts w:eastAsia="Times New Roman"/>
                <w:sz w:val="20"/>
                <w:szCs w:val="20"/>
                <w:lang w:val="en-US" w:eastAsia="en-US"/>
              </w:rPr>
            </w:pPr>
            <w:r w:rsidRPr="00E11630">
              <w:rPr>
                <w:rFonts w:eastAsia="Times New Roman"/>
                <w:sz w:val="20"/>
                <w:szCs w:val="20"/>
                <w:lang w:val="en-US" w:eastAsia="en-US"/>
              </w:rPr>
              <w:t>The partner institution is responsible for providing core resources for the programme.  Please comment on how the programme is resourced, including the total expenditure for library stock for the programme(s)</w:t>
            </w:r>
          </w:p>
          <w:p w:rsidRPr="00E11630" w:rsidR="00E11630" w:rsidP="00E11630" w:rsidRDefault="00E11630">
            <w:pPr>
              <w:ind w:left="720"/>
              <w:rPr>
                <w:rFonts w:eastAsia="Arial" w:cs="Arial"/>
                <w:color w:val="000000"/>
                <w:sz w:val="21"/>
                <w:szCs w:val="21"/>
                <w:lang w:val="en-US" w:eastAsia="en-US"/>
              </w:rPr>
            </w:pPr>
          </w:p>
        </w:tc>
      </w:tr>
      <w:tr w:rsidRPr="00E11630" w:rsidR="00E11630" w:rsidTr="002454B0">
        <w:tc>
          <w:tcPr>
            <w:tcW w:w="9242" w:type="dxa"/>
            <w:gridSpan w:val="2"/>
            <w:tcBorders>
              <w:bottom w:val="single" w:color="auto" w:sz="4" w:space="0"/>
            </w:tcBorders>
            <w:shd w:val="clear" w:color="auto" w:fill="auto"/>
          </w:tcPr>
          <w:p w:rsidRPr="00E11630" w:rsidR="00E11630" w:rsidP="00E11630" w:rsidRDefault="00E11630">
            <w:pPr>
              <w:rPr>
                <w:rFonts w:eastAsia="Arial" w:cs="Arial"/>
                <w:b/>
                <w:color w:val="000000"/>
                <w:szCs w:val="22"/>
                <w:lang w:val="en-US" w:eastAsia="en-US"/>
              </w:rPr>
            </w:pPr>
          </w:p>
          <w:p w:rsidRPr="00E11630" w:rsidR="00E11630" w:rsidP="00E11630" w:rsidRDefault="00E11630">
            <w:pPr>
              <w:rPr>
                <w:rFonts w:eastAsia="Arial" w:cs="Arial"/>
                <w:b/>
                <w:color w:val="000000"/>
                <w:szCs w:val="22"/>
                <w:lang w:val="en-US" w:eastAsia="en-US"/>
              </w:rPr>
            </w:pPr>
          </w:p>
          <w:p w:rsidRPr="00E11630" w:rsidR="00E11630" w:rsidP="00E11630" w:rsidRDefault="00E11630">
            <w:pPr>
              <w:ind w:left="360"/>
              <w:rPr>
                <w:rFonts w:eastAsia="Arial" w:cs="Arial"/>
                <w:b/>
                <w:color w:val="000000"/>
                <w:szCs w:val="22"/>
                <w:lang w:val="en-US" w:eastAsia="en-US"/>
              </w:rPr>
            </w:pPr>
          </w:p>
        </w:tc>
      </w:tr>
      <w:tr w:rsidRPr="00E11630" w:rsidR="00E11630" w:rsidTr="002454B0">
        <w:tc>
          <w:tcPr>
            <w:tcW w:w="9242" w:type="dxa"/>
            <w:gridSpan w:val="2"/>
            <w:shd w:val="clear" w:color="auto" w:fill="F2F2F2"/>
          </w:tcPr>
          <w:p w:rsidRPr="00E11630" w:rsidR="00E11630" w:rsidP="00E11630" w:rsidRDefault="00E11630">
            <w:pPr>
              <w:rPr>
                <w:rFonts w:eastAsia="Times New Roman"/>
                <w:b/>
                <w:szCs w:val="22"/>
                <w:lang w:val="en-US" w:eastAsia="en-US"/>
              </w:rPr>
            </w:pPr>
            <w:r w:rsidRPr="00E11630">
              <w:rPr>
                <w:rFonts w:eastAsia="Times New Roman"/>
                <w:b/>
                <w:szCs w:val="22"/>
                <w:lang w:val="en-US" w:eastAsia="en-US"/>
              </w:rPr>
              <w:t>Stock</w:t>
            </w:r>
          </w:p>
          <w:p w:rsidRPr="00E11630" w:rsidR="00E11630" w:rsidP="00E11630" w:rsidRDefault="00E11630">
            <w:pPr>
              <w:rPr>
                <w:rFonts w:eastAsia="Times New Roman"/>
                <w:sz w:val="20"/>
                <w:szCs w:val="20"/>
                <w:lang w:val="en-US" w:eastAsia="en-US"/>
              </w:rPr>
            </w:pPr>
            <w:r w:rsidRPr="00E11630">
              <w:rPr>
                <w:rFonts w:eastAsia="Times New Roman"/>
                <w:sz w:val="20"/>
                <w:szCs w:val="20"/>
                <w:lang w:val="en-US" w:eastAsia="en-US"/>
              </w:rPr>
              <w:t xml:space="preserve">Students must have access to sufficient material to underpin their studies.  Where possible, material which provides a breadth of reading should be accessible as well as material on reading lists.  </w:t>
            </w:r>
          </w:p>
          <w:p w:rsidRPr="00E11630" w:rsidR="00E11630" w:rsidP="00E11630" w:rsidRDefault="00E11630">
            <w:pPr>
              <w:rPr>
                <w:rFonts w:eastAsia="Times New Roman"/>
                <w:sz w:val="20"/>
                <w:szCs w:val="20"/>
                <w:lang w:val="en-US" w:eastAsia="en-US"/>
              </w:rPr>
            </w:pPr>
          </w:p>
          <w:p w:rsidRPr="00E11630" w:rsidR="00E11630" w:rsidP="00E11630" w:rsidRDefault="00E11630">
            <w:pPr>
              <w:rPr>
                <w:rFonts w:eastAsia="Times New Roman"/>
                <w:sz w:val="20"/>
                <w:szCs w:val="20"/>
                <w:lang w:val="en-US" w:eastAsia="en-US"/>
              </w:rPr>
            </w:pPr>
            <w:r w:rsidRPr="00E11630">
              <w:rPr>
                <w:rFonts w:eastAsia="Times New Roman"/>
                <w:sz w:val="20"/>
                <w:szCs w:val="20"/>
                <w:lang w:val="en-US" w:eastAsia="en-US"/>
              </w:rPr>
              <w:t>Please comment on:</w:t>
            </w:r>
          </w:p>
          <w:p w:rsidRPr="00E11630" w:rsidR="00E11630" w:rsidP="00E11630" w:rsidRDefault="00E11630">
            <w:pPr>
              <w:numPr>
                <w:ilvl w:val="0"/>
                <w:numId w:val="1"/>
              </w:numPr>
              <w:contextualSpacing/>
              <w:rPr>
                <w:sz w:val="20"/>
                <w:szCs w:val="20"/>
                <w:lang w:eastAsia="en-US"/>
              </w:rPr>
            </w:pPr>
            <w:r w:rsidRPr="00E11630">
              <w:rPr>
                <w:sz w:val="20"/>
                <w:szCs w:val="20"/>
                <w:lang w:eastAsia="en-US"/>
              </w:rPr>
              <w:t>How resources are selected and updated</w:t>
            </w:r>
          </w:p>
          <w:p w:rsidRPr="00E11630" w:rsidR="00E11630" w:rsidP="00E11630" w:rsidRDefault="00E11630">
            <w:pPr>
              <w:numPr>
                <w:ilvl w:val="0"/>
                <w:numId w:val="1"/>
              </w:numPr>
              <w:contextualSpacing/>
              <w:rPr>
                <w:sz w:val="20"/>
                <w:szCs w:val="20"/>
                <w:lang w:eastAsia="en-US"/>
              </w:rPr>
            </w:pPr>
            <w:r w:rsidRPr="00E11630">
              <w:rPr>
                <w:sz w:val="20"/>
                <w:szCs w:val="20"/>
                <w:lang w:eastAsia="en-US"/>
              </w:rPr>
              <w:t>Total stock numbers for the programme(s)</w:t>
            </w:r>
          </w:p>
          <w:p w:rsidRPr="00E11630" w:rsidR="00E11630" w:rsidP="00E11630" w:rsidRDefault="00E11630">
            <w:pPr>
              <w:numPr>
                <w:ilvl w:val="0"/>
                <w:numId w:val="1"/>
              </w:numPr>
              <w:contextualSpacing/>
              <w:rPr>
                <w:sz w:val="20"/>
                <w:szCs w:val="20"/>
                <w:lang w:eastAsia="en-US"/>
              </w:rPr>
            </w:pPr>
            <w:r w:rsidRPr="00E11630">
              <w:rPr>
                <w:sz w:val="20"/>
                <w:szCs w:val="20"/>
                <w:lang w:eastAsia="en-US"/>
              </w:rPr>
              <w:t>If applicable, how many current journals (either print or electronic) are subscribed to for the programme(s)</w:t>
            </w:r>
          </w:p>
          <w:p w:rsidRPr="00E11630" w:rsidR="00E11630" w:rsidP="00E11630" w:rsidRDefault="00E11630">
            <w:pPr>
              <w:numPr>
                <w:ilvl w:val="0"/>
                <w:numId w:val="1"/>
              </w:numPr>
              <w:contextualSpacing/>
              <w:rPr>
                <w:sz w:val="20"/>
                <w:szCs w:val="20"/>
                <w:lang w:eastAsia="en-US"/>
              </w:rPr>
            </w:pPr>
            <w:r w:rsidRPr="00E11630">
              <w:rPr>
                <w:sz w:val="20"/>
                <w:szCs w:val="20"/>
                <w:lang w:eastAsia="en-US"/>
              </w:rPr>
              <w:t>If applicable, what full-text and bibliographic academic databases are available for the programme(s)</w:t>
            </w:r>
          </w:p>
          <w:p w:rsidRPr="00E11630" w:rsidR="00E11630" w:rsidP="00E11630" w:rsidRDefault="00E11630">
            <w:pPr>
              <w:numPr>
                <w:ilvl w:val="0"/>
                <w:numId w:val="1"/>
              </w:numPr>
              <w:contextualSpacing/>
              <w:rPr>
                <w:sz w:val="20"/>
                <w:szCs w:val="20"/>
                <w:lang w:eastAsia="en-US"/>
              </w:rPr>
            </w:pPr>
            <w:r w:rsidRPr="00E11630">
              <w:rPr>
                <w:sz w:val="20"/>
                <w:szCs w:val="20"/>
                <w:lang w:eastAsia="en-US"/>
              </w:rPr>
              <w:t>Whether reading lists are made available to staff responsible for library access and resourcing</w:t>
            </w:r>
          </w:p>
          <w:p w:rsidRPr="00E11630" w:rsidR="00E11630" w:rsidP="00E11630" w:rsidRDefault="00E11630">
            <w:pPr>
              <w:numPr>
                <w:ilvl w:val="0"/>
                <w:numId w:val="1"/>
              </w:numPr>
              <w:contextualSpacing/>
              <w:rPr>
                <w:sz w:val="20"/>
                <w:szCs w:val="20"/>
                <w:lang w:eastAsia="en-US"/>
              </w:rPr>
            </w:pPr>
            <w:r w:rsidRPr="00E11630">
              <w:rPr>
                <w:sz w:val="20"/>
                <w:szCs w:val="20"/>
                <w:lang w:eastAsia="en-US"/>
              </w:rPr>
              <w:t>Any reciprocal borrowing schemes or Interlibrary loan services that are available to obtain stock not held at the partner institution</w:t>
            </w:r>
          </w:p>
        </w:tc>
      </w:tr>
      <w:tr w:rsidRPr="00E11630" w:rsidR="00E11630" w:rsidTr="002454B0">
        <w:tc>
          <w:tcPr>
            <w:tcW w:w="9242" w:type="dxa"/>
            <w:gridSpan w:val="2"/>
            <w:tcBorders>
              <w:bottom w:val="single" w:color="auto" w:sz="4" w:space="0"/>
            </w:tcBorders>
            <w:shd w:val="clear" w:color="auto" w:fill="auto"/>
          </w:tcPr>
          <w:p w:rsidRPr="00E11630" w:rsidR="00E11630" w:rsidP="00E11630" w:rsidRDefault="00E11630">
            <w:pPr>
              <w:rPr>
                <w:rFonts w:eastAsia="Arial" w:cs="Arial"/>
                <w:b/>
                <w:color w:val="000000"/>
                <w:szCs w:val="22"/>
                <w:lang w:val="en-US" w:eastAsia="en-US"/>
              </w:rPr>
            </w:pPr>
          </w:p>
          <w:p w:rsidRPr="00E11630" w:rsidR="00E11630" w:rsidP="00E11630" w:rsidRDefault="00E11630">
            <w:pPr>
              <w:rPr>
                <w:rFonts w:eastAsia="Arial" w:cs="Arial"/>
                <w:b/>
                <w:color w:val="000000"/>
                <w:szCs w:val="22"/>
                <w:lang w:val="en-US" w:eastAsia="en-US"/>
              </w:rPr>
            </w:pPr>
          </w:p>
          <w:p w:rsidRPr="00E11630" w:rsidR="00E11630" w:rsidP="00E11630" w:rsidRDefault="00E11630">
            <w:pPr>
              <w:rPr>
                <w:rFonts w:eastAsia="Arial" w:cs="Arial"/>
                <w:b/>
                <w:color w:val="000000"/>
                <w:szCs w:val="22"/>
                <w:lang w:val="en-US" w:eastAsia="en-US"/>
              </w:rPr>
            </w:pPr>
          </w:p>
        </w:tc>
      </w:tr>
      <w:tr w:rsidRPr="00E11630" w:rsidR="00E11630" w:rsidTr="002454B0">
        <w:tc>
          <w:tcPr>
            <w:tcW w:w="9242" w:type="dxa"/>
            <w:gridSpan w:val="2"/>
            <w:tcBorders>
              <w:bottom w:val="single" w:color="auto" w:sz="4" w:space="0"/>
            </w:tcBorders>
            <w:shd w:val="clear" w:color="auto" w:fill="F2F2F2"/>
          </w:tcPr>
          <w:p w:rsidRPr="00E11630" w:rsidR="00E11630" w:rsidP="00E11630" w:rsidRDefault="00E11630">
            <w:pPr>
              <w:rPr>
                <w:rFonts w:eastAsia="Times New Roman"/>
                <w:b/>
                <w:szCs w:val="22"/>
                <w:lang w:val="en-US" w:eastAsia="en-US"/>
              </w:rPr>
            </w:pPr>
            <w:r w:rsidRPr="00E11630">
              <w:rPr>
                <w:rFonts w:eastAsia="Times New Roman"/>
                <w:b/>
                <w:szCs w:val="22"/>
                <w:lang w:val="en-US" w:eastAsia="en-US"/>
              </w:rPr>
              <w:t>Physical library and staffing</w:t>
            </w:r>
          </w:p>
          <w:p w:rsidRPr="00E11630" w:rsidR="00E11630" w:rsidP="00E11630" w:rsidRDefault="00E11630">
            <w:pPr>
              <w:rPr>
                <w:rFonts w:eastAsia="Times New Roman"/>
                <w:sz w:val="20"/>
                <w:szCs w:val="20"/>
                <w:lang w:val="en-US" w:eastAsia="en-US"/>
              </w:rPr>
            </w:pPr>
            <w:r w:rsidRPr="00E11630">
              <w:rPr>
                <w:rFonts w:eastAsia="Times New Roman"/>
                <w:sz w:val="20"/>
                <w:szCs w:val="20"/>
                <w:lang w:val="en-US" w:eastAsia="en-US"/>
              </w:rPr>
              <w:t xml:space="preserve">Students benefit from access to a physical library and appropriate staffing.  </w:t>
            </w:r>
          </w:p>
          <w:p w:rsidRPr="00E11630" w:rsidR="00E11630" w:rsidP="00E11630" w:rsidRDefault="00E11630">
            <w:pPr>
              <w:rPr>
                <w:rFonts w:eastAsia="Times New Roman"/>
                <w:sz w:val="20"/>
                <w:szCs w:val="20"/>
                <w:lang w:val="en-US" w:eastAsia="en-US"/>
              </w:rPr>
            </w:pPr>
          </w:p>
          <w:p w:rsidRPr="00E11630" w:rsidR="00E11630" w:rsidP="00E11630" w:rsidRDefault="00E11630">
            <w:pPr>
              <w:rPr>
                <w:rFonts w:eastAsia="Times New Roman"/>
                <w:sz w:val="20"/>
                <w:szCs w:val="20"/>
                <w:lang w:val="en-US" w:eastAsia="en-US"/>
              </w:rPr>
            </w:pPr>
            <w:r w:rsidRPr="00E11630">
              <w:rPr>
                <w:rFonts w:eastAsia="Times New Roman"/>
                <w:sz w:val="20"/>
                <w:szCs w:val="20"/>
                <w:lang w:val="en-US" w:eastAsia="en-US"/>
              </w:rPr>
              <w:t>Please comment on:</w:t>
            </w:r>
          </w:p>
          <w:p w:rsidRPr="00E11630" w:rsidR="00E11630" w:rsidP="00E11630" w:rsidRDefault="00E11630">
            <w:pPr>
              <w:numPr>
                <w:ilvl w:val="0"/>
                <w:numId w:val="2"/>
              </w:numPr>
              <w:spacing w:after="200" w:line="276" w:lineRule="auto"/>
              <w:contextualSpacing/>
              <w:rPr>
                <w:sz w:val="20"/>
                <w:szCs w:val="20"/>
                <w:lang w:eastAsia="en-US"/>
              </w:rPr>
            </w:pPr>
            <w:r w:rsidRPr="00E11630">
              <w:rPr>
                <w:sz w:val="20"/>
                <w:szCs w:val="20"/>
                <w:lang w:eastAsia="en-US"/>
              </w:rPr>
              <w:t>Whether the partner institution has a dedicated library?</w:t>
            </w:r>
          </w:p>
          <w:p w:rsidRPr="00E11630" w:rsidR="00E11630" w:rsidP="00E11630" w:rsidRDefault="00E11630">
            <w:pPr>
              <w:ind w:firstLine="720"/>
              <w:rPr>
                <w:rFonts w:eastAsia="Times New Roman"/>
                <w:sz w:val="20"/>
                <w:szCs w:val="20"/>
                <w:lang w:val="en-US" w:eastAsia="en-US"/>
              </w:rPr>
            </w:pPr>
            <w:r w:rsidRPr="00E11630">
              <w:rPr>
                <w:rFonts w:eastAsia="Times New Roman"/>
                <w:sz w:val="20"/>
                <w:szCs w:val="20"/>
                <w:lang w:val="en-US" w:eastAsia="en-US"/>
              </w:rPr>
              <w:t>If yes:</w:t>
            </w:r>
          </w:p>
          <w:p w:rsidRPr="00E11630" w:rsidR="00E11630" w:rsidP="00E11630" w:rsidRDefault="00E11630">
            <w:pPr>
              <w:numPr>
                <w:ilvl w:val="1"/>
                <w:numId w:val="2"/>
              </w:numPr>
              <w:spacing w:after="200"/>
              <w:contextualSpacing/>
              <w:rPr>
                <w:sz w:val="20"/>
                <w:szCs w:val="20"/>
                <w:lang w:eastAsia="en-US"/>
              </w:rPr>
            </w:pPr>
            <w:r w:rsidRPr="00E11630">
              <w:rPr>
                <w:sz w:val="20"/>
                <w:szCs w:val="20"/>
                <w:lang w:eastAsia="en-US"/>
              </w:rPr>
              <w:t>How many staff are employed?</w:t>
            </w:r>
          </w:p>
          <w:p w:rsidRPr="00E11630" w:rsidR="00E11630" w:rsidP="00E11630" w:rsidRDefault="00E11630">
            <w:pPr>
              <w:numPr>
                <w:ilvl w:val="1"/>
                <w:numId w:val="2"/>
              </w:numPr>
              <w:spacing w:after="200"/>
              <w:contextualSpacing/>
              <w:rPr>
                <w:sz w:val="20"/>
                <w:szCs w:val="20"/>
                <w:lang w:eastAsia="en-US"/>
              </w:rPr>
            </w:pPr>
            <w:r w:rsidRPr="00E11630">
              <w:rPr>
                <w:sz w:val="20"/>
                <w:szCs w:val="20"/>
                <w:lang w:eastAsia="en-US"/>
              </w:rPr>
              <w:t>What are the opening times of the library?</w:t>
            </w:r>
          </w:p>
          <w:p w:rsidRPr="00E11630" w:rsidR="00E11630" w:rsidP="00E11630" w:rsidRDefault="00E11630">
            <w:pPr>
              <w:ind w:firstLine="720"/>
              <w:rPr>
                <w:rFonts w:eastAsia="Times New Roman"/>
                <w:sz w:val="20"/>
                <w:szCs w:val="20"/>
                <w:lang w:val="en-US" w:eastAsia="en-US"/>
              </w:rPr>
            </w:pPr>
            <w:r w:rsidRPr="00E11630">
              <w:rPr>
                <w:rFonts w:eastAsia="Times New Roman"/>
                <w:sz w:val="20"/>
                <w:szCs w:val="20"/>
                <w:lang w:val="en-US" w:eastAsia="en-US"/>
              </w:rPr>
              <w:t>If no:</w:t>
            </w:r>
          </w:p>
          <w:p w:rsidRPr="00E11630" w:rsidR="00E11630" w:rsidP="00E11630" w:rsidRDefault="00E11630">
            <w:pPr>
              <w:numPr>
                <w:ilvl w:val="1"/>
                <w:numId w:val="2"/>
              </w:numPr>
              <w:spacing w:after="200"/>
              <w:contextualSpacing/>
              <w:rPr>
                <w:sz w:val="20"/>
                <w:szCs w:val="20"/>
                <w:lang w:eastAsia="en-US"/>
              </w:rPr>
            </w:pPr>
            <w:r w:rsidRPr="00E11630">
              <w:rPr>
                <w:sz w:val="20"/>
                <w:szCs w:val="20"/>
                <w:lang w:eastAsia="en-US"/>
              </w:rPr>
              <w:t>How are resources made available to students?</w:t>
            </w:r>
          </w:p>
          <w:p w:rsidRPr="00E11630" w:rsidR="00E11630" w:rsidP="00E11630" w:rsidRDefault="00E11630">
            <w:pPr>
              <w:numPr>
                <w:ilvl w:val="1"/>
                <w:numId w:val="2"/>
              </w:numPr>
              <w:spacing w:after="200"/>
              <w:contextualSpacing/>
              <w:rPr>
                <w:sz w:val="20"/>
                <w:szCs w:val="20"/>
                <w:lang w:eastAsia="en-US"/>
              </w:rPr>
            </w:pPr>
            <w:r w:rsidRPr="00E11630">
              <w:rPr>
                <w:sz w:val="20"/>
                <w:szCs w:val="20"/>
                <w:lang w:eastAsia="en-US"/>
              </w:rPr>
              <w:t>Who manages the pu</w:t>
            </w:r>
            <w:bookmarkStart w:name="_GoBack" w:id="0"/>
            <w:bookmarkEnd w:id="0"/>
            <w:r w:rsidRPr="00E11630">
              <w:rPr>
                <w:sz w:val="20"/>
                <w:szCs w:val="20"/>
                <w:lang w:eastAsia="en-US"/>
              </w:rPr>
              <w:t>rchase of and access to resources?</w:t>
            </w:r>
          </w:p>
          <w:p w:rsidRPr="00E11630" w:rsidR="00E11630" w:rsidP="00E11630" w:rsidRDefault="00E11630">
            <w:pPr>
              <w:ind w:left="360"/>
              <w:rPr>
                <w:rFonts w:eastAsia="Arial" w:cs="Arial"/>
                <w:b/>
                <w:color w:val="000000"/>
                <w:szCs w:val="22"/>
                <w:lang w:val="en-US" w:eastAsia="en-US"/>
              </w:rPr>
            </w:pPr>
          </w:p>
        </w:tc>
      </w:tr>
      <w:tr w:rsidRPr="00E11630" w:rsidR="00E11630" w:rsidTr="002454B0">
        <w:tc>
          <w:tcPr>
            <w:tcW w:w="9242" w:type="dxa"/>
            <w:gridSpan w:val="2"/>
            <w:shd w:val="clear" w:color="auto" w:fill="auto"/>
          </w:tcPr>
          <w:p w:rsidRPr="00E11630" w:rsidR="00E11630" w:rsidP="00E11630" w:rsidRDefault="00E11630">
            <w:pPr>
              <w:rPr>
                <w:rFonts w:eastAsia="Arial" w:cs="Arial"/>
                <w:b/>
                <w:color w:val="000000"/>
                <w:szCs w:val="22"/>
                <w:lang w:val="en-US" w:eastAsia="en-US"/>
              </w:rPr>
            </w:pPr>
          </w:p>
          <w:p w:rsidRPr="00E11630" w:rsidR="00E11630" w:rsidP="00E11630" w:rsidRDefault="00E11630">
            <w:pPr>
              <w:rPr>
                <w:rFonts w:eastAsia="Arial" w:cs="Arial"/>
                <w:b/>
                <w:color w:val="000000"/>
                <w:szCs w:val="22"/>
                <w:lang w:val="en-US" w:eastAsia="en-US"/>
              </w:rPr>
            </w:pPr>
          </w:p>
          <w:p w:rsidRPr="00E11630" w:rsidR="00E11630" w:rsidP="00E11630" w:rsidRDefault="00E11630">
            <w:pPr>
              <w:rPr>
                <w:rFonts w:eastAsia="Arial" w:cs="Arial"/>
                <w:b/>
                <w:color w:val="000000"/>
                <w:szCs w:val="22"/>
                <w:lang w:val="en-US" w:eastAsia="en-US"/>
              </w:rPr>
            </w:pPr>
          </w:p>
          <w:p w:rsidRPr="00E11630" w:rsidR="00E11630" w:rsidP="00E11630" w:rsidRDefault="00E11630">
            <w:pPr>
              <w:rPr>
                <w:rFonts w:eastAsia="Arial" w:cs="Arial"/>
                <w:b/>
                <w:color w:val="000000"/>
                <w:szCs w:val="22"/>
                <w:lang w:val="en-US" w:eastAsia="en-US"/>
              </w:rPr>
            </w:pPr>
          </w:p>
          <w:p w:rsidRPr="00E11630" w:rsidR="00E11630" w:rsidP="00E11630" w:rsidRDefault="00E11630">
            <w:pPr>
              <w:rPr>
                <w:rFonts w:eastAsia="Arial" w:cs="Arial"/>
                <w:b/>
                <w:color w:val="000000"/>
                <w:szCs w:val="22"/>
                <w:lang w:val="en-US" w:eastAsia="en-US"/>
              </w:rPr>
            </w:pPr>
          </w:p>
        </w:tc>
      </w:tr>
      <w:tr w:rsidRPr="00E11630" w:rsidR="00E11630" w:rsidTr="002454B0">
        <w:tc>
          <w:tcPr>
            <w:tcW w:w="9242" w:type="dxa"/>
            <w:gridSpan w:val="2"/>
            <w:shd w:val="clear" w:color="auto" w:fill="F2F2F2"/>
          </w:tcPr>
          <w:p w:rsidRPr="00E11630" w:rsidR="00E11630" w:rsidP="00E11630" w:rsidRDefault="00E11630">
            <w:pPr>
              <w:rPr>
                <w:rFonts w:eastAsia="Times New Roman"/>
                <w:b/>
                <w:szCs w:val="22"/>
                <w:lang w:val="en-US" w:eastAsia="en-US"/>
              </w:rPr>
            </w:pPr>
            <w:r w:rsidRPr="00E11630">
              <w:rPr>
                <w:rFonts w:eastAsia="Times New Roman"/>
                <w:b/>
                <w:szCs w:val="22"/>
                <w:lang w:val="en-US" w:eastAsia="en-US"/>
              </w:rPr>
              <w:t>Liaison and communication</w:t>
            </w:r>
          </w:p>
          <w:p w:rsidRPr="00E11630" w:rsidR="00E11630" w:rsidP="00E11630" w:rsidRDefault="00E11630">
            <w:pPr>
              <w:rPr>
                <w:rFonts w:eastAsia="Times New Roman"/>
                <w:sz w:val="20"/>
                <w:szCs w:val="20"/>
                <w:lang w:val="en-US" w:eastAsia="en-US"/>
              </w:rPr>
            </w:pPr>
            <w:r w:rsidRPr="00E11630">
              <w:rPr>
                <w:rFonts w:eastAsia="Times New Roman"/>
                <w:sz w:val="20"/>
                <w:szCs w:val="20"/>
                <w:lang w:val="en-US" w:eastAsia="en-US"/>
              </w:rPr>
              <w:t xml:space="preserve">Ongoing communication about library access and resourcing is important.  </w:t>
            </w:r>
          </w:p>
          <w:p w:rsidRPr="00E11630" w:rsidR="00E11630" w:rsidP="00E11630" w:rsidRDefault="00E11630">
            <w:pPr>
              <w:rPr>
                <w:rFonts w:eastAsia="Times New Roman"/>
                <w:sz w:val="20"/>
                <w:szCs w:val="20"/>
                <w:lang w:val="en-US" w:eastAsia="en-US"/>
              </w:rPr>
            </w:pPr>
          </w:p>
          <w:p w:rsidRPr="00E11630" w:rsidR="00E11630" w:rsidP="00E11630" w:rsidRDefault="00E11630">
            <w:pPr>
              <w:rPr>
                <w:rFonts w:eastAsia="Times New Roman"/>
                <w:sz w:val="20"/>
                <w:szCs w:val="20"/>
                <w:lang w:val="en-US" w:eastAsia="en-US"/>
              </w:rPr>
            </w:pPr>
            <w:r w:rsidRPr="00E11630">
              <w:rPr>
                <w:rFonts w:eastAsia="Times New Roman"/>
                <w:sz w:val="20"/>
                <w:szCs w:val="20"/>
                <w:lang w:val="en-US" w:eastAsia="en-US"/>
              </w:rPr>
              <w:t>Please comment on:</w:t>
            </w:r>
          </w:p>
          <w:p w:rsidRPr="00E11630" w:rsidR="00E11630" w:rsidP="00E11630" w:rsidRDefault="00E11630">
            <w:pPr>
              <w:numPr>
                <w:ilvl w:val="0"/>
                <w:numId w:val="2"/>
              </w:numPr>
              <w:spacing w:line="276" w:lineRule="auto"/>
              <w:contextualSpacing/>
              <w:rPr>
                <w:sz w:val="20"/>
                <w:szCs w:val="20"/>
                <w:lang w:eastAsia="en-US"/>
              </w:rPr>
            </w:pPr>
            <w:r w:rsidRPr="00E11630">
              <w:rPr>
                <w:sz w:val="20"/>
                <w:szCs w:val="20"/>
                <w:lang w:eastAsia="en-US"/>
              </w:rPr>
              <w:t xml:space="preserve">How staff with responsibility for library access and resourcing become aware of course developments and </w:t>
            </w:r>
            <w:r w:rsidRPr="00E11630">
              <w:rPr>
                <w:sz w:val="20"/>
                <w:szCs w:val="20"/>
                <w:lang w:eastAsia="en-US"/>
              </w:rPr>
              <w:lastRenderedPageBreak/>
              <w:t>review, and the effectiveness of communication with teaching staff</w:t>
            </w:r>
          </w:p>
          <w:p w:rsidRPr="00E11630" w:rsidR="00E11630" w:rsidP="00E11630" w:rsidRDefault="00E11630">
            <w:pPr>
              <w:numPr>
                <w:ilvl w:val="0"/>
                <w:numId w:val="2"/>
              </w:numPr>
              <w:spacing w:line="276" w:lineRule="auto"/>
              <w:contextualSpacing/>
              <w:rPr>
                <w:sz w:val="20"/>
                <w:szCs w:val="20"/>
                <w:lang w:eastAsia="en-US"/>
              </w:rPr>
            </w:pPr>
            <w:r w:rsidRPr="00E11630">
              <w:rPr>
                <w:sz w:val="20"/>
                <w:szCs w:val="20"/>
                <w:lang w:eastAsia="en-US"/>
              </w:rPr>
              <w:t>Whether any contact has been made between library staff at De Montfort University and staff with responsibility for library access and resourcing at the partner institution. Are there any ways to improve communication or further develop links within the partnership?</w:t>
            </w:r>
          </w:p>
        </w:tc>
      </w:tr>
      <w:tr w:rsidRPr="00E11630" w:rsidR="00E11630" w:rsidTr="002454B0">
        <w:tc>
          <w:tcPr>
            <w:tcW w:w="9242" w:type="dxa"/>
            <w:gridSpan w:val="2"/>
            <w:tcBorders>
              <w:bottom w:val="single" w:color="auto" w:sz="4" w:space="0"/>
            </w:tcBorders>
            <w:shd w:val="clear" w:color="auto" w:fill="auto"/>
          </w:tcPr>
          <w:p w:rsidRPr="00E11630" w:rsidR="00E11630" w:rsidP="00E11630" w:rsidRDefault="00E11630">
            <w:pPr>
              <w:ind w:left="360"/>
              <w:rPr>
                <w:rFonts w:eastAsia="Arial" w:cs="Arial"/>
                <w:b/>
                <w:color w:val="000000"/>
                <w:szCs w:val="22"/>
                <w:lang w:val="en-US" w:eastAsia="en-US"/>
              </w:rPr>
            </w:pPr>
          </w:p>
          <w:p w:rsidRPr="00E11630" w:rsidR="00E11630" w:rsidP="00E11630" w:rsidRDefault="00E11630">
            <w:pPr>
              <w:rPr>
                <w:rFonts w:eastAsia="Arial" w:cs="Arial"/>
                <w:b/>
                <w:color w:val="000000"/>
                <w:szCs w:val="22"/>
                <w:lang w:val="en-US" w:eastAsia="en-US"/>
              </w:rPr>
            </w:pPr>
          </w:p>
          <w:p w:rsidRPr="00E11630" w:rsidR="00E11630" w:rsidP="00E11630" w:rsidRDefault="00E11630">
            <w:pPr>
              <w:ind w:left="360"/>
              <w:rPr>
                <w:rFonts w:eastAsia="Arial" w:cs="Arial"/>
                <w:b/>
                <w:color w:val="000000"/>
                <w:szCs w:val="22"/>
                <w:lang w:val="en-US" w:eastAsia="en-US"/>
              </w:rPr>
            </w:pPr>
          </w:p>
        </w:tc>
      </w:tr>
      <w:tr w:rsidRPr="00E11630" w:rsidR="00E11630" w:rsidTr="002454B0">
        <w:tc>
          <w:tcPr>
            <w:tcW w:w="9242" w:type="dxa"/>
            <w:gridSpan w:val="2"/>
            <w:shd w:val="clear" w:color="auto" w:fill="F2F2F2"/>
          </w:tcPr>
          <w:p w:rsidRPr="00E11630" w:rsidR="00E11630" w:rsidP="00E11630" w:rsidRDefault="00E11630">
            <w:pPr>
              <w:rPr>
                <w:rFonts w:eastAsia="Times New Roman"/>
                <w:b/>
                <w:szCs w:val="22"/>
                <w:lang w:val="en-US" w:eastAsia="en-US"/>
              </w:rPr>
            </w:pPr>
            <w:r w:rsidRPr="00E11630">
              <w:rPr>
                <w:rFonts w:eastAsia="Times New Roman"/>
                <w:b/>
                <w:szCs w:val="22"/>
                <w:lang w:val="en-US" w:eastAsia="en-US"/>
              </w:rPr>
              <w:t>Evaluation and review of services</w:t>
            </w:r>
          </w:p>
          <w:p w:rsidRPr="00E11630" w:rsidR="00E11630" w:rsidP="00E11630" w:rsidRDefault="00E11630">
            <w:pPr>
              <w:rPr>
                <w:rFonts w:eastAsia="Times New Roman"/>
                <w:sz w:val="20"/>
                <w:szCs w:val="20"/>
                <w:lang w:val="en-US" w:eastAsia="en-US"/>
              </w:rPr>
            </w:pPr>
            <w:r w:rsidRPr="00E11630">
              <w:rPr>
                <w:rFonts w:eastAsia="Times New Roman"/>
                <w:sz w:val="20"/>
                <w:szCs w:val="20"/>
                <w:lang w:val="en-US" w:eastAsia="en-US"/>
              </w:rPr>
              <w:t xml:space="preserve">Access to library resources should be reviewed in terms of student feedback.  </w:t>
            </w:r>
          </w:p>
          <w:p w:rsidRPr="00E11630" w:rsidR="00E11630" w:rsidP="00E11630" w:rsidRDefault="00E11630">
            <w:pPr>
              <w:rPr>
                <w:rFonts w:eastAsia="Times New Roman"/>
                <w:sz w:val="20"/>
                <w:szCs w:val="20"/>
                <w:lang w:val="en-US" w:eastAsia="en-US"/>
              </w:rPr>
            </w:pPr>
          </w:p>
          <w:p w:rsidRPr="00E11630" w:rsidR="00E11630" w:rsidP="00E11630" w:rsidRDefault="00E11630">
            <w:pPr>
              <w:rPr>
                <w:rFonts w:eastAsia="Times New Roman"/>
                <w:sz w:val="20"/>
                <w:szCs w:val="20"/>
                <w:lang w:val="en-US" w:eastAsia="en-US"/>
              </w:rPr>
            </w:pPr>
            <w:r w:rsidRPr="00E11630">
              <w:rPr>
                <w:rFonts w:eastAsia="Times New Roman"/>
                <w:sz w:val="20"/>
                <w:szCs w:val="20"/>
                <w:lang w:val="en-US" w:eastAsia="en-US"/>
              </w:rPr>
              <w:t>Please comment on:</w:t>
            </w:r>
          </w:p>
          <w:p w:rsidRPr="00E11630" w:rsidR="00E11630" w:rsidP="00E11630" w:rsidRDefault="00E11630">
            <w:pPr>
              <w:numPr>
                <w:ilvl w:val="0"/>
                <w:numId w:val="3"/>
              </w:numPr>
              <w:contextualSpacing/>
              <w:rPr>
                <w:sz w:val="20"/>
                <w:szCs w:val="20"/>
                <w:lang w:eastAsia="en-US"/>
              </w:rPr>
            </w:pPr>
            <w:r w:rsidRPr="00E11630">
              <w:rPr>
                <w:sz w:val="20"/>
                <w:szCs w:val="20"/>
                <w:lang w:eastAsia="en-US"/>
              </w:rPr>
              <w:t>How students’ feedback about library provision is recorded</w:t>
            </w:r>
          </w:p>
          <w:p w:rsidRPr="00E11630" w:rsidR="00E11630" w:rsidP="00E11630" w:rsidRDefault="00E11630">
            <w:pPr>
              <w:numPr>
                <w:ilvl w:val="0"/>
                <w:numId w:val="3"/>
              </w:numPr>
              <w:contextualSpacing/>
              <w:rPr>
                <w:sz w:val="20"/>
                <w:szCs w:val="20"/>
                <w:lang w:eastAsia="en-US"/>
              </w:rPr>
            </w:pPr>
            <w:r w:rsidRPr="00E11630">
              <w:rPr>
                <w:sz w:val="20"/>
                <w:szCs w:val="20"/>
                <w:lang w:eastAsia="en-US"/>
              </w:rPr>
              <w:t>How is this feedback responded to?</w:t>
            </w:r>
          </w:p>
          <w:p w:rsidRPr="00E11630" w:rsidR="00E11630" w:rsidP="00E11630" w:rsidRDefault="00E11630">
            <w:pPr>
              <w:numPr>
                <w:ilvl w:val="0"/>
                <w:numId w:val="3"/>
              </w:numPr>
              <w:contextualSpacing/>
              <w:rPr>
                <w:sz w:val="20"/>
                <w:szCs w:val="20"/>
                <w:lang w:eastAsia="en-US"/>
              </w:rPr>
            </w:pPr>
            <w:r w:rsidRPr="00E11630">
              <w:rPr>
                <w:sz w:val="20"/>
                <w:szCs w:val="20"/>
                <w:lang w:eastAsia="en-US"/>
              </w:rPr>
              <w:t>Whether library access and resourcing is evaluated and fed back into service improvements</w:t>
            </w:r>
          </w:p>
        </w:tc>
      </w:tr>
      <w:tr w:rsidRPr="00E11630" w:rsidR="00E11630" w:rsidTr="002454B0">
        <w:tc>
          <w:tcPr>
            <w:tcW w:w="9242" w:type="dxa"/>
            <w:gridSpan w:val="2"/>
            <w:shd w:val="clear" w:color="auto" w:fill="auto"/>
          </w:tcPr>
          <w:p w:rsidRPr="00E11630" w:rsidR="00E11630" w:rsidP="00E11630" w:rsidRDefault="00E11630">
            <w:pPr>
              <w:ind w:left="360"/>
              <w:rPr>
                <w:rFonts w:eastAsia="Arial" w:cs="Arial"/>
                <w:b/>
                <w:color w:val="000000"/>
                <w:szCs w:val="22"/>
                <w:lang w:val="en-US" w:eastAsia="en-US"/>
              </w:rPr>
            </w:pPr>
          </w:p>
          <w:p w:rsidRPr="00E11630" w:rsidR="00E11630" w:rsidP="00E11630" w:rsidRDefault="00E11630">
            <w:pPr>
              <w:rPr>
                <w:rFonts w:eastAsia="Arial" w:cs="Arial"/>
                <w:b/>
                <w:color w:val="000000"/>
                <w:szCs w:val="22"/>
                <w:lang w:val="en-US" w:eastAsia="en-US"/>
              </w:rPr>
            </w:pPr>
          </w:p>
          <w:p w:rsidRPr="00E11630" w:rsidR="00E11630" w:rsidP="00E11630" w:rsidRDefault="00E11630">
            <w:pPr>
              <w:ind w:left="360"/>
              <w:rPr>
                <w:rFonts w:eastAsia="Arial" w:cs="Arial"/>
                <w:b/>
                <w:color w:val="000000"/>
                <w:szCs w:val="22"/>
                <w:lang w:val="en-US" w:eastAsia="en-US"/>
              </w:rPr>
            </w:pPr>
          </w:p>
        </w:tc>
      </w:tr>
    </w:tbl>
    <w:p w:rsidR="00AB0FE9" w:rsidRDefault="00AB0FE9"/>
    <w:sectPr w:rsidR="00AB0FE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630" w:rsidRDefault="00E11630" w:rsidP="00E11630">
      <w:r>
        <w:separator/>
      </w:r>
    </w:p>
  </w:endnote>
  <w:endnote w:type="continuationSeparator" w:id="0">
    <w:p w:rsidR="00E11630" w:rsidRDefault="00E11630" w:rsidP="00E1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549980273"/>
      <w:docPartObj>
        <w:docPartGallery w:val="Page Numbers (Bottom of Page)"/>
        <w:docPartUnique/>
      </w:docPartObj>
    </w:sdtPr>
    <w:sdtEndPr>
      <w:rPr>
        <w:color w:val="808080" w:themeColor="background1" w:themeShade="80"/>
        <w:spacing w:val="60"/>
      </w:rPr>
    </w:sdtEndPr>
    <w:sdtContent>
      <w:p w:rsidR="00E11630" w:rsidRPr="00E11630" w:rsidRDefault="00E11630">
        <w:pPr>
          <w:pStyle w:val="Footer"/>
          <w:pBdr>
            <w:top w:val="single" w:sz="4" w:space="1" w:color="D9D9D9" w:themeColor="background1" w:themeShade="D9"/>
          </w:pBdr>
          <w:jc w:val="right"/>
          <w:rPr>
            <w:sz w:val="18"/>
            <w:szCs w:val="18"/>
          </w:rPr>
        </w:pPr>
        <w:r w:rsidRPr="00E11630">
          <w:rPr>
            <w:sz w:val="18"/>
            <w:szCs w:val="18"/>
          </w:rPr>
          <w:t>Learning Resources at the partner institution</w:t>
        </w:r>
        <w:r>
          <w:rPr>
            <w:sz w:val="18"/>
            <w:szCs w:val="18"/>
          </w:rPr>
          <w:t xml:space="preserve">                                                                                                                        </w:t>
        </w:r>
        <w:r w:rsidRPr="00E11630">
          <w:rPr>
            <w:sz w:val="18"/>
            <w:szCs w:val="18"/>
          </w:rPr>
          <w:fldChar w:fldCharType="begin"/>
        </w:r>
        <w:r w:rsidRPr="00E11630">
          <w:rPr>
            <w:sz w:val="18"/>
            <w:szCs w:val="18"/>
          </w:rPr>
          <w:instrText xml:space="preserve"> PAGE   \* MERGEFORMAT </w:instrText>
        </w:r>
        <w:r w:rsidRPr="00E11630">
          <w:rPr>
            <w:sz w:val="18"/>
            <w:szCs w:val="18"/>
          </w:rPr>
          <w:fldChar w:fldCharType="separate"/>
        </w:r>
        <w:r>
          <w:rPr>
            <w:noProof/>
            <w:sz w:val="18"/>
            <w:szCs w:val="18"/>
          </w:rPr>
          <w:t>2</w:t>
        </w:r>
        <w:r w:rsidRPr="00E11630">
          <w:rPr>
            <w:noProof/>
            <w:sz w:val="18"/>
            <w:szCs w:val="18"/>
          </w:rPr>
          <w:fldChar w:fldCharType="end"/>
        </w:r>
        <w:r w:rsidRPr="00E11630">
          <w:rPr>
            <w:sz w:val="18"/>
            <w:szCs w:val="18"/>
          </w:rPr>
          <w:t xml:space="preserve"> | </w:t>
        </w:r>
        <w:r w:rsidRPr="00E11630">
          <w:rPr>
            <w:color w:val="808080" w:themeColor="background1" w:themeShade="80"/>
            <w:spacing w:val="60"/>
            <w:sz w:val="18"/>
            <w:szCs w:val="18"/>
          </w:rPr>
          <w:t>Page</w:t>
        </w:r>
      </w:p>
    </w:sdtContent>
  </w:sdt>
  <w:p w:rsidR="00E11630" w:rsidRPr="00E11630" w:rsidRDefault="00E11630">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630" w:rsidRDefault="00E11630" w:rsidP="00E11630">
      <w:r>
        <w:separator/>
      </w:r>
    </w:p>
  </w:footnote>
  <w:footnote w:type="continuationSeparator" w:id="0">
    <w:p w:rsidR="00E11630" w:rsidRDefault="00E11630" w:rsidP="00E11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66C8A"/>
    <w:multiLevelType w:val="hybridMultilevel"/>
    <w:tmpl w:val="99799375"/>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1">
    <w:nsid w:val="66866C8D"/>
    <w:multiLevelType w:val="hybridMultilevel"/>
    <w:tmpl w:val="99799372"/>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
    <w:nsid w:val="66866C8E"/>
    <w:multiLevelType w:val="hybridMultilevel"/>
    <w:tmpl w:val="99799371"/>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30"/>
    <w:rsid w:val="008B1D34"/>
    <w:rsid w:val="00AB0FE9"/>
    <w:rsid w:val="00BD049B"/>
    <w:rsid w:val="00E11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9B"/>
    <w:rPr>
      <w:sz w:val="22"/>
      <w:szCs w:val="24"/>
    </w:rPr>
  </w:style>
  <w:style w:type="paragraph" w:styleId="Heading1">
    <w:name w:val="heading 1"/>
    <w:aliases w:val="Main heading"/>
    <w:basedOn w:val="Normal"/>
    <w:next w:val="Normal"/>
    <w:link w:val="Heading1Char"/>
    <w:qFormat/>
    <w:rsid w:val="00BD049B"/>
    <w:pPr>
      <w:keepNext/>
      <w:outlineLvl w:val="0"/>
    </w:pPr>
    <w:rPr>
      <w:rFonts w:eastAsia="Times New Roman" w:cs="Arial"/>
      <w:b/>
      <w:bCs/>
      <w:color w:val="C00000"/>
      <w:kern w:val="32"/>
      <w:sz w:val="32"/>
      <w:szCs w:val="32"/>
    </w:rPr>
  </w:style>
  <w:style w:type="paragraph" w:styleId="Heading2">
    <w:name w:val="heading 2"/>
    <w:aliases w:val="sub-heading"/>
    <w:basedOn w:val="Normal"/>
    <w:next w:val="Normal"/>
    <w:link w:val="Heading2Char"/>
    <w:qFormat/>
    <w:rsid w:val="00BD049B"/>
    <w:pPr>
      <w:keepNext/>
      <w:spacing w:before="120" w:after="120"/>
      <w:outlineLvl w:val="1"/>
    </w:pPr>
    <w:rPr>
      <w:rFonts w:eastAsia="Times New Roman" w:cs="Arial"/>
      <w:b/>
      <w:bCs/>
      <w:iCs/>
      <w:color w:val="C00000"/>
      <w:sz w:val="28"/>
      <w:szCs w:val="28"/>
    </w:rPr>
  </w:style>
  <w:style w:type="paragraph" w:styleId="Heading3">
    <w:name w:val="heading 3"/>
    <w:aliases w:val="para heading"/>
    <w:basedOn w:val="Normal"/>
    <w:next w:val="Normal"/>
    <w:link w:val="Heading3Char"/>
    <w:qFormat/>
    <w:rsid w:val="00BD049B"/>
    <w:pPr>
      <w:keepNext/>
      <w:spacing w:before="240" w:after="60"/>
      <w:outlineLvl w:val="2"/>
    </w:pPr>
    <w:rPr>
      <w:rFonts w:eastAsia="Times New Roman" w:cs="Arial"/>
      <w:b/>
      <w:bCs/>
      <w:color w:val="1F497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link w:val="Heading1"/>
    <w:rsid w:val="00BD049B"/>
    <w:rPr>
      <w:rFonts w:eastAsia="Times New Roman" w:cs="Arial"/>
      <w:b/>
      <w:bCs/>
      <w:color w:val="C00000"/>
      <w:kern w:val="32"/>
      <w:sz w:val="32"/>
      <w:szCs w:val="32"/>
    </w:rPr>
  </w:style>
  <w:style w:type="character" w:customStyle="1" w:styleId="Heading2Char">
    <w:name w:val="Heading 2 Char"/>
    <w:aliases w:val="sub-heading Char"/>
    <w:link w:val="Heading2"/>
    <w:rsid w:val="00BD049B"/>
    <w:rPr>
      <w:rFonts w:eastAsia="Times New Roman" w:cs="Arial"/>
      <w:b/>
      <w:bCs/>
      <w:iCs/>
      <w:color w:val="C00000"/>
      <w:sz w:val="28"/>
      <w:szCs w:val="28"/>
    </w:rPr>
  </w:style>
  <w:style w:type="character" w:customStyle="1" w:styleId="Heading3Char">
    <w:name w:val="Heading 3 Char"/>
    <w:aliases w:val="para heading Char"/>
    <w:link w:val="Heading3"/>
    <w:rsid w:val="00BD049B"/>
    <w:rPr>
      <w:rFonts w:eastAsia="Times New Roman" w:cs="Arial"/>
      <w:b/>
      <w:bCs/>
      <w:color w:val="1F497D"/>
      <w:sz w:val="24"/>
      <w:szCs w:val="26"/>
    </w:rPr>
  </w:style>
  <w:style w:type="paragraph" w:styleId="TOC1">
    <w:name w:val="toc 1"/>
    <w:basedOn w:val="Normal"/>
    <w:next w:val="Normal"/>
    <w:autoRedefine/>
    <w:uiPriority w:val="39"/>
    <w:unhideWhenUsed/>
    <w:qFormat/>
    <w:rsid w:val="00BD049B"/>
    <w:pPr>
      <w:spacing w:before="360" w:after="120"/>
    </w:pPr>
    <w:rPr>
      <w:rFonts w:eastAsia="Times New Roman"/>
      <w:b/>
      <w:color w:val="1F497D"/>
      <w:sz w:val="24"/>
    </w:rPr>
  </w:style>
  <w:style w:type="paragraph" w:styleId="TOC2">
    <w:name w:val="toc 2"/>
    <w:basedOn w:val="Normal"/>
    <w:next w:val="Normal"/>
    <w:autoRedefine/>
    <w:uiPriority w:val="39"/>
    <w:unhideWhenUsed/>
    <w:qFormat/>
    <w:rsid w:val="00BD049B"/>
    <w:pPr>
      <w:spacing w:after="120"/>
      <w:ind w:left="221"/>
    </w:pPr>
    <w:rPr>
      <w:rFonts w:eastAsia="Times New Roman"/>
    </w:rPr>
  </w:style>
  <w:style w:type="paragraph" w:styleId="TOC3">
    <w:name w:val="toc 3"/>
    <w:basedOn w:val="Normal"/>
    <w:next w:val="Normal"/>
    <w:autoRedefine/>
    <w:uiPriority w:val="39"/>
    <w:unhideWhenUsed/>
    <w:qFormat/>
    <w:rsid w:val="00BD049B"/>
    <w:pPr>
      <w:ind w:left="440"/>
    </w:pPr>
    <w:rPr>
      <w:rFonts w:eastAsia="Times New Roman"/>
    </w:rPr>
  </w:style>
  <w:style w:type="paragraph" w:styleId="Subtitle">
    <w:name w:val="Subtitle"/>
    <w:basedOn w:val="Normal"/>
    <w:next w:val="Normal"/>
    <w:link w:val="SubtitleChar"/>
    <w:uiPriority w:val="11"/>
    <w:qFormat/>
    <w:rsid w:val="00BD049B"/>
    <w:pPr>
      <w:spacing w:after="60"/>
      <w:outlineLvl w:val="1"/>
    </w:pPr>
    <w:rPr>
      <w:rFonts w:eastAsia="Times New Roman"/>
      <w:b/>
      <w:color w:val="C00000"/>
      <w:sz w:val="20"/>
    </w:rPr>
  </w:style>
  <w:style w:type="character" w:customStyle="1" w:styleId="SubtitleChar">
    <w:name w:val="Subtitle Char"/>
    <w:link w:val="Subtitle"/>
    <w:uiPriority w:val="11"/>
    <w:rsid w:val="00BD049B"/>
    <w:rPr>
      <w:rFonts w:eastAsia="Times New Roman"/>
      <w:b/>
      <w:color w:val="C00000"/>
      <w:szCs w:val="24"/>
    </w:rPr>
  </w:style>
  <w:style w:type="character" w:styleId="Strong">
    <w:name w:val="Strong"/>
    <w:uiPriority w:val="22"/>
    <w:qFormat/>
    <w:rsid w:val="00BD049B"/>
    <w:rPr>
      <w:b/>
      <w:bCs/>
    </w:rPr>
  </w:style>
  <w:style w:type="character" w:styleId="Emphasis">
    <w:name w:val="Emphasis"/>
    <w:qFormat/>
    <w:rsid w:val="00BD049B"/>
    <w:rPr>
      <w:i/>
      <w:iCs/>
    </w:rPr>
  </w:style>
  <w:style w:type="paragraph" w:styleId="NoSpacing">
    <w:name w:val="No Spacing"/>
    <w:uiPriority w:val="1"/>
    <w:qFormat/>
    <w:rsid w:val="00BD049B"/>
    <w:rPr>
      <w:rFonts w:eastAsia="Times New Roman"/>
      <w:sz w:val="22"/>
      <w:szCs w:val="24"/>
    </w:rPr>
  </w:style>
  <w:style w:type="paragraph" w:styleId="ListParagraph">
    <w:name w:val="List Paragraph"/>
    <w:basedOn w:val="Normal"/>
    <w:uiPriority w:val="34"/>
    <w:qFormat/>
    <w:rsid w:val="00BD049B"/>
    <w:pPr>
      <w:spacing w:after="200" w:line="276" w:lineRule="auto"/>
      <w:ind w:left="720"/>
    </w:pPr>
    <w:rPr>
      <w:rFonts w:cs="FranklinGothic-Book"/>
      <w:sz w:val="36"/>
      <w:szCs w:val="36"/>
      <w:lang w:eastAsia="en-US"/>
    </w:rPr>
  </w:style>
  <w:style w:type="paragraph" w:styleId="TOCHeading">
    <w:name w:val="TOC Heading"/>
    <w:basedOn w:val="Heading1"/>
    <w:next w:val="Normal"/>
    <w:uiPriority w:val="39"/>
    <w:semiHidden/>
    <w:unhideWhenUsed/>
    <w:qFormat/>
    <w:rsid w:val="00BD049B"/>
    <w:pPr>
      <w:keepLines/>
      <w:spacing w:before="480" w:line="276" w:lineRule="auto"/>
      <w:outlineLvl w:val="9"/>
    </w:pPr>
    <w:rPr>
      <w:rFonts w:ascii="Cambria" w:hAnsi="Cambria" w:cs="Times New Roman"/>
      <w:color w:val="365F91"/>
      <w:kern w:val="0"/>
      <w:sz w:val="28"/>
      <w:szCs w:val="28"/>
      <w:lang w:val="en-US" w:eastAsia="en-US"/>
    </w:rPr>
  </w:style>
  <w:style w:type="paragraph" w:styleId="Header">
    <w:name w:val="header"/>
    <w:basedOn w:val="Normal"/>
    <w:link w:val="HeaderChar"/>
    <w:uiPriority w:val="99"/>
    <w:unhideWhenUsed/>
    <w:rsid w:val="00E11630"/>
    <w:pPr>
      <w:tabs>
        <w:tab w:val="center" w:pos="4513"/>
        <w:tab w:val="right" w:pos="9026"/>
      </w:tabs>
    </w:pPr>
  </w:style>
  <w:style w:type="character" w:customStyle="1" w:styleId="HeaderChar">
    <w:name w:val="Header Char"/>
    <w:basedOn w:val="DefaultParagraphFont"/>
    <w:link w:val="Header"/>
    <w:uiPriority w:val="99"/>
    <w:rsid w:val="00E11630"/>
    <w:rPr>
      <w:sz w:val="22"/>
      <w:szCs w:val="24"/>
    </w:rPr>
  </w:style>
  <w:style w:type="paragraph" w:styleId="Footer">
    <w:name w:val="footer"/>
    <w:basedOn w:val="Normal"/>
    <w:link w:val="FooterChar"/>
    <w:uiPriority w:val="99"/>
    <w:unhideWhenUsed/>
    <w:rsid w:val="00E11630"/>
    <w:pPr>
      <w:tabs>
        <w:tab w:val="center" w:pos="4513"/>
        <w:tab w:val="right" w:pos="9026"/>
      </w:tabs>
    </w:pPr>
  </w:style>
  <w:style w:type="character" w:customStyle="1" w:styleId="FooterChar">
    <w:name w:val="Footer Char"/>
    <w:basedOn w:val="DefaultParagraphFont"/>
    <w:link w:val="Footer"/>
    <w:uiPriority w:val="99"/>
    <w:rsid w:val="00E11630"/>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9B"/>
    <w:rPr>
      <w:sz w:val="22"/>
      <w:szCs w:val="24"/>
    </w:rPr>
  </w:style>
  <w:style w:type="paragraph" w:styleId="Heading1">
    <w:name w:val="heading 1"/>
    <w:aliases w:val="Main heading"/>
    <w:basedOn w:val="Normal"/>
    <w:next w:val="Normal"/>
    <w:link w:val="Heading1Char"/>
    <w:qFormat/>
    <w:rsid w:val="00BD049B"/>
    <w:pPr>
      <w:keepNext/>
      <w:outlineLvl w:val="0"/>
    </w:pPr>
    <w:rPr>
      <w:rFonts w:eastAsia="Times New Roman" w:cs="Arial"/>
      <w:b/>
      <w:bCs/>
      <w:color w:val="C00000"/>
      <w:kern w:val="32"/>
      <w:sz w:val="32"/>
      <w:szCs w:val="32"/>
    </w:rPr>
  </w:style>
  <w:style w:type="paragraph" w:styleId="Heading2">
    <w:name w:val="heading 2"/>
    <w:aliases w:val="sub-heading"/>
    <w:basedOn w:val="Normal"/>
    <w:next w:val="Normal"/>
    <w:link w:val="Heading2Char"/>
    <w:qFormat/>
    <w:rsid w:val="00BD049B"/>
    <w:pPr>
      <w:keepNext/>
      <w:spacing w:before="120" w:after="120"/>
      <w:outlineLvl w:val="1"/>
    </w:pPr>
    <w:rPr>
      <w:rFonts w:eastAsia="Times New Roman" w:cs="Arial"/>
      <w:b/>
      <w:bCs/>
      <w:iCs/>
      <w:color w:val="C00000"/>
      <w:sz w:val="28"/>
      <w:szCs w:val="28"/>
    </w:rPr>
  </w:style>
  <w:style w:type="paragraph" w:styleId="Heading3">
    <w:name w:val="heading 3"/>
    <w:aliases w:val="para heading"/>
    <w:basedOn w:val="Normal"/>
    <w:next w:val="Normal"/>
    <w:link w:val="Heading3Char"/>
    <w:qFormat/>
    <w:rsid w:val="00BD049B"/>
    <w:pPr>
      <w:keepNext/>
      <w:spacing w:before="240" w:after="60"/>
      <w:outlineLvl w:val="2"/>
    </w:pPr>
    <w:rPr>
      <w:rFonts w:eastAsia="Times New Roman" w:cs="Arial"/>
      <w:b/>
      <w:bCs/>
      <w:color w:val="1F497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link w:val="Heading1"/>
    <w:rsid w:val="00BD049B"/>
    <w:rPr>
      <w:rFonts w:eastAsia="Times New Roman" w:cs="Arial"/>
      <w:b/>
      <w:bCs/>
      <w:color w:val="C00000"/>
      <w:kern w:val="32"/>
      <w:sz w:val="32"/>
      <w:szCs w:val="32"/>
    </w:rPr>
  </w:style>
  <w:style w:type="character" w:customStyle="1" w:styleId="Heading2Char">
    <w:name w:val="Heading 2 Char"/>
    <w:aliases w:val="sub-heading Char"/>
    <w:link w:val="Heading2"/>
    <w:rsid w:val="00BD049B"/>
    <w:rPr>
      <w:rFonts w:eastAsia="Times New Roman" w:cs="Arial"/>
      <w:b/>
      <w:bCs/>
      <w:iCs/>
      <w:color w:val="C00000"/>
      <w:sz w:val="28"/>
      <w:szCs w:val="28"/>
    </w:rPr>
  </w:style>
  <w:style w:type="character" w:customStyle="1" w:styleId="Heading3Char">
    <w:name w:val="Heading 3 Char"/>
    <w:aliases w:val="para heading Char"/>
    <w:link w:val="Heading3"/>
    <w:rsid w:val="00BD049B"/>
    <w:rPr>
      <w:rFonts w:eastAsia="Times New Roman" w:cs="Arial"/>
      <w:b/>
      <w:bCs/>
      <w:color w:val="1F497D"/>
      <w:sz w:val="24"/>
      <w:szCs w:val="26"/>
    </w:rPr>
  </w:style>
  <w:style w:type="paragraph" w:styleId="TOC1">
    <w:name w:val="toc 1"/>
    <w:basedOn w:val="Normal"/>
    <w:next w:val="Normal"/>
    <w:autoRedefine/>
    <w:uiPriority w:val="39"/>
    <w:unhideWhenUsed/>
    <w:qFormat/>
    <w:rsid w:val="00BD049B"/>
    <w:pPr>
      <w:spacing w:before="360" w:after="120"/>
    </w:pPr>
    <w:rPr>
      <w:rFonts w:eastAsia="Times New Roman"/>
      <w:b/>
      <w:color w:val="1F497D"/>
      <w:sz w:val="24"/>
    </w:rPr>
  </w:style>
  <w:style w:type="paragraph" w:styleId="TOC2">
    <w:name w:val="toc 2"/>
    <w:basedOn w:val="Normal"/>
    <w:next w:val="Normal"/>
    <w:autoRedefine/>
    <w:uiPriority w:val="39"/>
    <w:unhideWhenUsed/>
    <w:qFormat/>
    <w:rsid w:val="00BD049B"/>
    <w:pPr>
      <w:spacing w:after="120"/>
      <w:ind w:left="221"/>
    </w:pPr>
    <w:rPr>
      <w:rFonts w:eastAsia="Times New Roman"/>
    </w:rPr>
  </w:style>
  <w:style w:type="paragraph" w:styleId="TOC3">
    <w:name w:val="toc 3"/>
    <w:basedOn w:val="Normal"/>
    <w:next w:val="Normal"/>
    <w:autoRedefine/>
    <w:uiPriority w:val="39"/>
    <w:unhideWhenUsed/>
    <w:qFormat/>
    <w:rsid w:val="00BD049B"/>
    <w:pPr>
      <w:ind w:left="440"/>
    </w:pPr>
    <w:rPr>
      <w:rFonts w:eastAsia="Times New Roman"/>
    </w:rPr>
  </w:style>
  <w:style w:type="paragraph" w:styleId="Subtitle">
    <w:name w:val="Subtitle"/>
    <w:basedOn w:val="Normal"/>
    <w:next w:val="Normal"/>
    <w:link w:val="SubtitleChar"/>
    <w:uiPriority w:val="11"/>
    <w:qFormat/>
    <w:rsid w:val="00BD049B"/>
    <w:pPr>
      <w:spacing w:after="60"/>
      <w:outlineLvl w:val="1"/>
    </w:pPr>
    <w:rPr>
      <w:rFonts w:eastAsia="Times New Roman"/>
      <w:b/>
      <w:color w:val="C00000"/>
      <w:sz w:val="20"/>
    </w:rPr>
  </w:style>
  <w:style w:type="character" w:customStyle="1" w:styleId="SubtitleChar">
    <w:name w:val="Subtitle Char"/>
    <w:link w:val="Subtitle"/>
    <w:uiPriority w:val="11"/>
    <w:rsid w:val="00BD049B"/>
    <w:rPr>
      <w:rFonts w:eastAsia="Times New Roman"/>
      <w:b/>
      <w:color w:val="C00000"/>
      <w:szCs w:val="24"/>
    </w:rPr>
  </w:style>
  <w:style w:type="character" w:styleId="Strong">
    <w:name w:val="Strong"/>
    <w:uiPriority w:val="22"/>
    <w:qFormat/>
    <w:rsid w:val="00BD049B"/>
    <w:rPr>
      <w:b/>
      <w:bCs/>
    </w:rPr>
  </w:style>
  <w:style w:type="character" w:styleId="Emphasis">
    <w:name w:val="Emphasis"/>
    <w:qFormat/>
    <w:rsid w:val="00BD049B"/>
    <w:rPr>
      <w:i/>
      <w:iCs/>
    </w:rPr>
  </w:style>
  <w:style w:type="paragraph" w:styleId="NoSpacing">
    <w:name w:val="No Spacing"/>
    <w:uiPriority w:val="1"/>
    <w:qFormat/>
    <w:rsid w:val="00BD049B"/>
    <w:rPr>
      <w:rFonts w:eastAsia="Times New Roman"/>
      <w:sz w:val="22"/>
      <w:szCs w:val="24"/>
    </w:rPr>
  </w:style>
  <w:style w:type="paragraph" w:styleId="ListParagraph">
    <w:name w:val="List Paragraph"/>
    <w:basedOn w:val="Normal"/>
    <w:uiPriority w:val="34"/>
    <w:qFormat/>
    <w:rsid w:val="00BD049B"/>
    <w:pPr>
      <w:spacing w:after="200" w:line="276" w:lineRule="auto"/>
      <w:ind w:left="720"/>
    </w:pPr>
    <w:rPr>
      <w:rFonts w:cs="FranklinGothic-Book"/>
      <w:sz w:val="36"/>
      <w:szCs w:val="36"/>
      <w:lang w:eastAsia="en-US"/>
    </w:rPr>
  </w:style>
  <w:style w:type="paragraph" w:styleId="TOCHeading">
    <w:name w:val="TOC Heading"/>
    <w:basedOn w:val="Heading1"/>
    <w:next w:val="Normal"/>
    <w:uiPriority w:val="39"/>
    <w:semiHidden/>
    <w:unhideWhenUsed/>
    <w:qFormat/>
    <w:rsid w:val="00BD049B"/>
    <w:pPr>
      <w:keepLines/>
      <w:spacing w:before="480" w:line="276" w:lineRule="auto"/>
      <w:outlineLvl w:val="9"/>
    </w:pPr>
    <w:rPr>
      <w:rFonts w:ascii="Cambria" w:hAnsi="Cambria" w:cs="Times New Roman"/>
      <w:color w:val="365F91"/>
      <w:kern w:val="0"/>
      <w:sz w:val="28"/>
      <w:szCs w:val="28"/>
      <w:lang w:val="en-US" w:eastAsia="en-US"/>
    </w:rPr>
  </w:style>
  <w:style w:type="paragraph" w:styleId="Header">
    <w:name w:val="header"/>
    <w:basedOn w:val="Normal"/>
    <w:link w:val="HeaderChar"/>
    <w:uiPriority w:val="99"/>
    <w:unhideWhenUsed/>
    <w:rsid w:val="00E11630"/>
    <w:pPr>
      <w:tabs>
        <w:tab w:val="center" w:pos="4513"/>
        <w:tab w:val="right" w:pos="9026"/>
      </w:tabs>
    </w:pPr>
  </w:style>
  <w:style w:type="character" w:customStyle="1" w:styleId="HeaderChar">
    <w:name w:val="Header Char"/>
    <w:basedOn w:val="DefaultParagraphFont"/>
    <w:link w:val="Header"/>
    <w:uiPriority w:val="99"/>
    <w:rsid w:val="00E11630"/>
    <w:rPr>
      <w:sz w:val="22"/>
      <w:szCs w:val="24"/>
    </w:rPr>
  </w:style>
  <w:style w:type="paragraph" w:styleId="Footer">
    <w:name w:val="footer"/>
    <w:basedOn w:val="Normal"/>
    <w:link w:val="FooterChar"/>
    <w:uiPriority w:val="99"/>
    <w:unhideWhenUsed/>
    <w:rsid w:val="00E11630"/>
    <w:pPr>
      <w:tabs>
        <w:tab w:val="center" w:pos="4513"/>
        <w:tab w:val="right" w:pos="9026"/>
      </w:tabs>
    </w:pPr>
  </w:style>
  <w:style w:type="character" w:customStyle="1" w:styleId="FooterChar">
    <w:name w:val="Footer Char"/>
    <w:basedOn w:val="DefaultParagraphFont"/>
    <w:link w:val="Footer"/>
    <w:uiPriority w:val="99"/>
    <w:rsid w:val="00E1163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Harding</dc:creator>
  <cp:lastModifiedBy>Gita Patel</cp:lastModifiedBy>
  <cp:revision>1</cp:revision>
  <dcterms:created xsi:type="dcterms:W3CDTF">2018-06-05T09:15:00Z</dcterms:created>
  <dcterms:modified xsi:type="dcterms:W3CDTF">2018-06-29T11:38:59Z</dcterms:modified>
  <dc:title>learning-resources-proforma-collab-prov</dc:title>
  <cp:keywords>
  </cp:keywords>
  <dc:subject>
  </dc:subject>
</cp:coreProperties>
</file>