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8574E" w:rsidR="00A15DE4" w:rsidP="0048574E" w:rsidRDefault="005A4275">
      <w:pPr>
        <w:jc w:val="center"/>
        <w:rPr>
          <w:b/>
          <w:u w:val="single"/>
        </w:rPr>
      </w:pPr>
      <w:bookmarkStart w:name="_GoBack" w:id="0"/>
      <w:bookmarkEnd w:id="0"/>
      <w:r w:rsidRPr="0048574E">
        <w:rPr>
          <w:b/>
          <w:u w:val="single"/>
        </w:rPr>
        <w:t>FAQ s No</w:t>
      </w:r>
      <w:r w:rsidRPr="0048574E" w:rsidR="0048574E">
        <w:rPr>
          <w:b/>
          <w:u w:val="single"/>
        </w:rPr>
        <w:t>n-Medical Prescribing Programme</w:t>
      </w:r>
    </w:p>
    <w:p w:rsidR="00A15DE4" w:rsidRDefault="00A15DE4">
      <w:pPr>
        <w:pStyle w:val="ListParagraph"/>
      </w:pPr>
    </w:p>
    <w:p w:rsidRPr="0048574E" w:rsidR="004964AB" w:rsidP="0048574E" w:rsidRDefault="00A133EF">
      <w:pPr>
        <w:pStyle w:val="ListParagraph"/>
        <w:numPr>
          <w:ilvl w:val="0"/>
          <w:numId w:val="3"/>
        </w:numPr>
        <w:rPr>
          <w:b/>
        </w:rPr>
      </w:pPr>
      <w:r w:rsidRPr="0048574E">
        <w:rPr>
          <w:b/>
        </w:rPr>
        <w:t xml:space="preserve"> </w:t>
      </w:r>
      <w:r w:rsidRPr="0048574E" w:rsidR="004964AB">
        <w:rPr>
          <w:b/>
        </w:rPr>
        <w:t>What are the entry requirements for the Non-Medical Prescribing Programme?</w:t>
      </w:r>
    </w:p>
    <w:p w:rsidRPr="0048574E" w:rsidR="00A85DD6" w:rsidP="00A85DD6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Effective registration with the Nursing and Midwifery Council (NMC) or Health and Care Professions Council (HCPC) for more than 3 years.</w:t>
      </w:r>
    </w:p>
    <w:p w:rsidRPr="0048574E" w:rsidR="004964AB" w:rsidP="004964AB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Working in the field in which the applicant wishes to prescribe for more than one year</w:t>
      </w:r>
    </w:p>
    <w:p w:rsidRPr="0048574E" w:rsidR="004964AB" w:rsidP="004964AB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Evidence of successful level 6</w:t>
      </w:r>
      <w:r w:rsidRPr="0048574E" w:rsidR="00A85DD6">
        <w:rPr>
          <w:rFonts w:eastAsia="Times New Roman"/>
        </w:rPr>
        <w:t xml:space="preserve"> (degree level)</w:t>
      </w:r>
      <w:r w:rsidRPr="0048574E">
        <w:rPr>
          <w:rFonts w:eastAsia="Times New Roman"/>
        </w:rPr>
        <w:t xml:space="preserve"> study </w:t>
      </w:r>
      <w:r w:rsidRPr="0048574E" w:rsidR="00A85DD6">
        <w:rPr>
          <w:rFonts w:eastAsia="Times New Roman"/>
        </w:rPr>
        <w:t>with</w:t>
      </w:r>
      <w:r w:rsidRPr="0048574E">
        <w:rPr>
          <w:rFonts w:eastAsia="Times New Roman"/>
        </w:rPr>
        <w:t>in the last 5 years</w:t>
      </w:r>
    </w:p>
    <w:p w:rsidRPr="0048574E" w:rsidR="004964AB" w:rsidP="004964AB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Enhanced Disclosure and Barring Service (DBS) check</w:t>
      </w:r>
      <w:r w:rsidRPr="0048574E" w:rsidR="0048574E">
        <w:rPr>
          <w:rFonts w:eastAsia="Times New Roman"/>
        </w:rPr>
        <w:t xml:space="preserve"> which must be</w:t>
      </w:r>
      <w:r w:rsidRPr="0048574E">
        <w:rPr>
          <w:rFonts w:eastAsia="Times New Roman"/>
        </w:rPr>
        <w:t xml:space="preserve"> </w:t>
      </w:r>
      <w:r w:rsidRPr="0048574E" w:rsidR="00A85DD6">
        <w:rPr>
          <w:rFonts w:eastAsia="Times New Roman"/>
        </w:rPr>
        <w:t>less than</w:t>
      </w:r>
      <w:r w:rsidRPr="0048574E">
        <w:rPr>
          <w:rFonts w:eastAsia="Times New Roman"/>
        </w:rPr>
        <w:t xml:space="preserve"> two years </w:t>
      </w:r>
      <w:r w:rsidRPr="0048574E" w:rsidR="00A85DD6">
        <w:rPr>
          <w:rFonts w:eastAsia="Times New Roman"/>
        </w:rPr>
        <w:t xml:space="preserve">old </w:t>
      </w:r>
      <w:r w:rsidRPr="0048574E" w:rsidR="0048574E">
        <w:rPr>
          <w:rFonts w:eastAsia="Times New Roman"/>
        </w:rPr>
        <w:t>at</w:t>
      </w:r>
      <w:r w:rsidRPr="0048574E" w:rsidR="00A85DD6">
        <w:rPr>
          <w:rFonts w:eastAsia="Times New Roman"/>
        </w:rPr>
        <w:t xml:space="preserve"> the start of the </w:t>
      </w:r>
      <w:r w:rsidRPr="0048574E">
        <w:rPr>
          <w:rFonts w:eastAsia="Times New Roman"/>
        </w:rPr>
        <w:t xml:space="preserve">of start of programme for </w:t>
      </w:r>
      <w:r w:rsidRPr="0048574E" w:rsidR="0048574E">
        <w:rPr>
          <w:rFonts w:eastAsia="Times New Roman"/>
        </w:rPr>
        <w:t xml:space="preserve">the </w:t>
      </w:r>
      <w:r w:rsidRPr="0048574E">
        <w:rPr>
          <w:rFonts w:eastAsia="Times New Roman"/>
        </w:rPr>
        <w:t>NMC or three months of programme commencement date for HCPC</w:t>
      </w:r>
      <w:r w:rsidRPr="0048574E" w:rsidR="0048574E">
        <w:rPr>
          <w:rFonts w:eastAsia="Times New Roman"/>
        </w:rPr>
        <w:t>.</w:t>
      </w:r>
    </w:p>
    <w:p w:rsidRPr="0048574E" w:rsidR="004964AB" w:rsidP="004964AB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 xml:space="preserve">Successful completion of a </w:t>
      </w:r>
      <w:r w:rsidRPr="0048574E" w:rsidR="00A85DD6">
        <w:rPr>
          <w:rFonts w:eastAsia="Times New Roman"/>
        </w:rPr>
        <w:t xml:space="preserve">university accredited </w:t>
      </w:r>
      <w:r w:rsidRPr="0048574E">
        <w:rPr>
          <w:rFonts w:eastAsia="Times New Roman"/>
        </w:rPr>
        <w:t>module that includes diagnostic, examination and consultation skills or equivalent e.g., NMAH 3314 or SPEC 5604</w:t>
      </w:r>
    </w:p>
    <w:p w:rsidRPr="0048574E" w:rsidR="004964AB" w:rsidP="004964AB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The applicant must be able to demonstrate appropriate numeracy skills through a numeracy assessment undertaken b</w:t>
      </w:r>
      <w:r w:rsidRPr="0048574E" w:rsidR="0048574E">
        <w:rPr>
          <w:rFonts w:eastAsia="Times New Roman"/>
        </w:rPr>
        <w:t>y practice lead or at interview.</w:t>
      </w:r>
    </w:p>
    <w:p w:rsidRPr="0048574E" w:rsidR="00A85DD6" w:rsidP="00A85DD6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Students will need</w:t>
      </w:r>
      <w:r w:rsidRPr="0048574E" w:rsidR="00A85DD6">
        <w:rPr>
          <w:rFonts w:eastAsia="Times New Roman"/>
        </w:rPr>
        <w:t xml:space="preserve"> the support of a</w:t>
      </w:r>
      <w:r w:rsidRPr="0048574E">
        <w:rPr>
          <w:rFonts w:eastAsia="Times New Roman"/>
        </w:rPr>
        <w:t xml:space="preserve"> D</w:t>
      </w:r>
      <w:r w:rsidRPr="0048574E" w:rsidR="00A85DD6">
        <w:rPr>
          <w:rFonts w:eastAsia="Times New Roman"/>
        </w:rPr>
        <w:t xml:space="preserve">esignated </w:t>
      </w:r>
      <w:r w:rsidRPr="0048574E">
        <w:rPr>
          <w:rFonts w:eastAsia="Times New Roman"/>
        </w:rPr>
        <w:t>M</w:t>
      </w:r>
      <w:r w:rsidRPr="0048574E" w:rsidR="00A85DD6">
        <w:rPr>
          <w:rFonts w:eastAsia="Times New Roman"/>
        </w:rPr>
        <w:t>edical Practitioner</w:t>
      </w:r>
      <w:r w:rsidRPr="0048574E">
        <w:rPr>
          <w:rFonts w:eastAsia="Times New Roman"/>
        </w:rPr>
        <w:t xml:space="preserve"> working at Senior Registrar level or above</w:t>
      </w:r>
      <w:r w:rsidRPr="0048574E" w:rsidR="0048574E">
        <w:rPr>
          <w:rFonts w:eastAsia="Times New Roman"/>
        </w:rPr>
        <w:t>.</w:t>
      </w:r>
    </w:p>
    <w:p w:rsidR="006946DF" w:rsidP="00A85DD6" w:rsidRDefault="00A85DD6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 xml:space="preserve">Support of </w:t>
      </w:r>
      <w:r w:rsidRPr="0048574E" w:rsidR="0048574E">
        <w:rPr>
          <w:rFonts w:eastAsia="Times New Roman"/>
        </w:rPr>
        <w:t>applicant’s</w:t>
      </w:r>
      <w:r w:rsidRPr="0048574E">
        <w:rPr>
          <w:rFonts w:eastAsia="Times New Roman"/>
        </w:rPr>
        <w:t xml:space="preserve"> line manager</w:t>
      </w:r>
      <w:r w:rsidR="006946DF">
        <w:rPr>
          <w:rFonts w:eastAsia="Times New Roman"/>
        </w:rPr>
        <w:t xml:space="preserve"> </w:t>
      </w:r>
    </w:p>
    <w:p w:rsidRPr="0048574E" w:rsidR="00A85DD6" w:rsidP="00A85DD6" w:rsidRDefault="006946DF">
      <w:pPr>
        <w:numPr>
          <w:ilvl w:val="0"/>
          <w:numId w:val="5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Support of Trust Non-Medical Prescribing Lead</w:t>
      </w:r>
    </w:p>
    <w:p w:rsidRPr="0048574E" w:rsidR="00A85DD6" w:rsidP="00A85DD6" w:rsidRDefault="00A85DD6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Support of Nurse/Midwife/A</w:t>
      </w:r>
      <w:r w:rsidR="009347F4">
        <w:rPr>
          <w:rFonts w:eastAsia="Times New Roman"/>
        </w:rPr>
        <w:t>H</w:t>
      </w:r>
      <w:r w:rsidRPr="0048574E">
        <w:rPr>
          <w:rFonts w:eastAsia="Times New Roman"/>
        </w:rPr>
        <w:t>P Non-Medical Prescriber to act as a mentor</w:t>
      </w:r>
      <w:r w:rsidRPr="0048574E" w:rsidR="0048574E">
        <w:rPr>
          <w:rFonts w:eastAsia="Times New Roman"/>
        </w:rPr>
        <w:t xml:space="preserve"> (</w:t>
      </w:r>
      <w:r w:rsidR="006946DF">
        <w:rPr>
          <w:rFonts w:eastAsia="Times New Roman"/>
        </w:rPr>
        <w:t>In addition to</w:t>
      </w:r>
      <w:r w:rsidRPr="0048574E">
        <w:rPr>
          <w:rFonts w:eastAsia="Times New Roman"/>
        </w:rPr>
        <w:t xml:space="preserve"> DMP</w:t>
      </w:r>
      <w:r w:rsidRPr="0048574E" w:rsidR="0048574E">
        <w:rPr>
          <w:rFonts w:eastAsia="Times New Roman"/>
        </w:rPr>
        <w:t>.</w:t>
      </w:r>
      <w:r w:rsidRPr="0048574E">
        <w:rPr>
          <w:rFonts w:eastAsia="Times New Roman"/>
        </w:rPr>
        <w:t>)</w:t>
      </w:r>
    </w:p>
    <w:p w:rsidRPr="0048574E" w:rsidR="004964AB" w:rsidP="00A85DD6" w:rsidRDefault="004964AB">
      <w:pPr>
        <w:numPr>
          <w:ilvl w:val="0"/>
          <w:numId w:val="5"/>
        </w:numPr>
        <w:spacing w:line="240" w:lineRule="auto"/>
        <w:rPr>
          <w:rFonts w:eastAsia="Times New Roman"/>
        </w:rPr>
      </w:pPr>
      <w:r w:rsidRPr="0048574E">
        <w:rPr>
          <w:rFonts w:eastAsia="Times New Roman"/>
        </w:rPr>
        <w:t>All applicants must attend for an interview</w:t>
      </w:r>
    </w:p>
    <w:p w:rsidRPr="0048574E" w:rsidR="004964AB" w:rsidP="0048574E" w:rsidRDefault="004964AB">
      <w:pPr>
        <w:rPr>
          <w:b/>
        </w:rPr>
      </w:pPr>
    </w:p>
    <w:p w:rsidRPr="0048574E" w:rsidR="00A133EF" w:rsidRDefault="00A133EF">
      <w:pPr>
        <w:pStyle w:val="ListParagraph"/>
        <w:numPr>
          <w:ilvl w:val="0"/>
          <w:numId w:val="3"/>
        </w:numPr>
        <w:rPr>
          <w:b/>
        </w:rPr>
      </w:pPr>
      <w:r w:rsidRPr="0048574E">
        <w:rPr>
          <w:b/>
        </w:rPr>
        <w:t>What level should I study at?</w:t>
      </w:r>
    </w:p>
    <w:p w:rsidRPr="0048574E" w:rsidR="0048574E" w:rsidP="0048574E" w:rsidRDefault="0048574E">
      <w:pPr>
        <w:spacing w:line="240" w:lineRule="auto"/>
        <w:rPr>
          <w:rFonts w:eastAsiaTheme="minorHAnsi"/>
          <w:b/>
          <w:lang w:eastAsia="en-US"/>
        </w:rPr>
      </w:pPr>
      <w:r w:rsidRPr="0048574E">
        <w:rPr>
          <w:rFonts w:eastAsiaTheme="minorHAnsi"/>
          <w:lang w:eastAsia="en-US"/>
        </w:rPr>
        <w:t>You can c</w:t>
      </w:r>
      <w:r w:rsidR="009347F4">
        <w:rPr>
          <w:rFonts w:eastAsiaTheme="minorHAnsi"/>
          <w:lang w:eastAsia="en-US"/>
        </w:rPr>
        <w:t>hoose to study the Non-Medical P</w:t>
      </w:r>
      <w:r w:rsidRPr="0048574E">
        <w:rPr>
          <w:rFonts w:eastAsiaTheme="minorHAnsi"/>
          <w:lang w:eastAsia="en-US"/>
        </w:rPr>
        <w:t xml:space="preserve">rescribing Programme at either degree (Level 6) or masters (Level 7). </w:t>
      </w:r>
      <w:r w:rsidR="00CA7C09">
        <w:rPr>
          <w:rFonts w:eastAsiaTheme="minorHAnsi"/>
          <w:lang w:eastAsia="en-US"/>
        </w:rPr>
        <w:t>O</w:t>
      </w:r>
      <w:r w:rsidRPr="0048574E">
        <w:rPr>
          <w:rFonts w:eastAsiaTheme="minorHAnsi"/>
          <w:lang w:eastAsia="en-US"/>
        </w:rPr>
        <w:t>nce you have commenced the Programme, you will not be able to swap levels of study.</w:t>
      </w:r>
    </w:p>
    <w:tbl>
      <w:tblPr>
        <w:tblStyle w:val="TableGrid1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2693"/>
        <w:gridCol w:w="4253"/>
      </w:tblGrid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>Level 6 (Degree)</w:t>
            </w:r>
          </w:p>
        </w:tc>
        <w:tc>
          <w:tcPr>
            <w:tcW w:w="4253" w:type="dxa"/>
            <w:tcBorders>
              <w:left w:val="single" w:color="auto" w:sz="18" w:space="0"/>
              <w:bottom w:val="single" w:color="auto" w:sz="18" w:space="0"/>
              <w:right w:val="single" w:color="auto" w:sz="12" w:space="0"/>
            </w:tcBorders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>Level 7 (Masters)</w:t>
            </w:r>
          </w:p>
        </w:tc>
      </w:tr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>Academic Entry Criteria</w:t>
            </w:r>
          </w:p>
        </w:tc>
        <w:tc>
          <w:tcPr>
            <w:tcW w:w="2693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Possess degree level credits </w:t>
            </w:r>
          </w:p>
        </w:tc>
        <w:tc>
          <w:tcPr>
            <w:tcW w:w="4253" w:type="dxa"/>
            <w:tcBorders>
              <w:top w:val="single" w:color="auto" w:sz="18" w:space="0"/>
              <w:lef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Possess a degree – classification 2.1 or above</w:t>
            </w:r>
          </w:p>
        </w:tc>
      </w:tr>
      <w:tr w:rsidRPr="0048574E" w:rsidR="0048574E" w:rsidTr="009A7E0A">
        <w:tc>
          <w:tcPr>
            <w:tcW w:w="9782" w:type="dxa"/>
            <w:gridSpan w:val="3"/>
            <w:tcBorders>
              <w:right w:val="single" w:color="auto" w:sz="12" w:space="0"/>
            </w:tcBorders>
            <w:shd w:val="clear" w:color="auto" w:fill="BFBFBF" w:themeFill="background1" w:themeFillShade="BF"/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>Academic Assignments for NMP Programme</w:t>
            </w:r>
          </w:p>
        </w:tc>
      </w:tr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Pharmacology and Therapeutics for the prescriber Module </w:t>
            </w: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Numeracy exam Pass mark 100% 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Pharmacology exam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80%</w:t>
            </w:r>
          </w:p>
        </w:tc>
        <w:tc>
          <w:tcPr>
            <w:tcW w:w="4253" w:type="dxa"/>
            <w:tcBorders>
              <w:left w:val="single" w:color="auto" w:sz="18" w:space="0"/>
              <w:right w:val="single" w:color="auto" w:sz="12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Numeracy exam  Pass mark 100% 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Pharmacology exam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80%</w:t>
            </w:r>
          </w:p>
          <w:p w:rsidRPr="0048574E" w:rsidR="0048574E" w:rsidP="0048574E" w:rsidRDefault="009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Algorithm</w:t>
            </w:r>
            <w:r w:rsidRPr="0048574E" w:rsidR="0048574E">
              <w:rPr>
                <w:sz w:val="20"/>
                <w:szCs w:val="20"/>
              </w:rPr>
              <w:t xml:space="preserve">,2000 word supporting paper, Viva defence of Algorithm 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Students must include analysis and synthesis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50%</w:t>
            </w:r>
          </w:p>
        </w:tc>
      </w:tr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Professional, legal and Ethical Module 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3000 word assignment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40%</w:t>
            </w:r>
          </w:p>
        </w:tc>
        <w:tc>
          <w:tcPr>
            <w:tcW w:w="4253" w:type="dxa"/>
            <w:tcBorders>
              <w:left w:val="single" w:color="auto" w:sz="18" w:space="0"/>
              <w:right w:val="single" w:color="auto" w:sz="12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3000 word assignment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50%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Students must include analysis and synthesis</w:t>
            </w:r>
          </w:p>
        </w:tc>
      </w:tr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Applied prescribing in Clinical Context  Module 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3000 word assignment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40%</w:t>
            </w:r>
          </w:p>
        </w:tc>
        <w:tc>
          <w:tcPr>
            <w:tcW w:w="4253" w:type="dxa"/>
            <w:tcBorders>
              <w:left w:val="single" w:color="auto" w:sz="18" w:space="0"/>
              <w:right w:val="single" w:color="auto" w:sz="12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3000 word assignment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Pass mark 50%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Students must include analysis and synthesis</w:t>
            </w:r>
          </w:p>
        </w:tc>
      </w:tr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Practice Portfolio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Portfolio</w:t>
            </w:r>
          </w:p>
        </w:tc>
        <w:tc>
          <w:tcPr>
            <w:tcW w:w="4253" w:type="dxa"/>
            <w:tcBorders>
              <w:left w:val="single" w:color="auto" w:sz="18" w:space="0"/>
              <w:right w:val="single" w:color="auto" w:sz="12" w:space="0"/>
            </w:tcBorders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Portfolio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Students must include analysis and synthesis</w:t>
            </w:r>
          </w:p>
        </w:tc>
      </w:tr>
      <w:tr w:rsidRPr="0048574E" w:rsidR="0048574E" w:rsidTr="009A7E0A">
        <w:tc>
          <w:tcPr>
            <w:tcW w:w="9782" w:type="dxa"/>
            <w:gridSpan w:val="3"/>
            <w:tcBorders>
              <w:right w:val="single" w:color="auto" w:sz="12" w:space="0"/>
            </w:tcBorders>
            <w:shd w:val="clear" w:color="auto" w:fill="BFBFBF" w:themeFill="background1" w:themeFillShade="BF"/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>Exit Award</w:t>
            </w:r>
          </w:p>
        </w:tc>
      </w:tr>
      <w:tr w:rsidRPr="0048574E" w:rsidR="0048574E" w:rsidTr="009A7E0A">
        <w:tc>
          <w:tcPr>
            <w:tcW w:w="2836" w:type="dxa"/>
            <w:vMerge w:val="restart"/>
            <w:tcBorders>
              <w:right w:val="single" w:color="auto" w:sz="18" w:space="0"/>
            </w:tcBorders>
            <w:shd w:val="clear" w:color="auto" w:fill="FFFFFF" w:themeFill="background1"/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 xml:space="preserve">If you do </w:t>
            </w:r>
            <w:r w:rsidRPr="006946DF" w:rsidR="006946DF">
              <w:rPr>
                <w:b/>
                <w:sz w:val="20"/>
                <w:szCs w:val="20"/>
                <w:u w:val="single"/>
              </w:rPr>
              <w:t>NOT</w:t>
            </w:r>
            <w:r w:rsidRPr="0048574E">
              <w:rPr>
                <w:b/>
                <w:sz w:val="20"/>
                <w:szCs w:val="20"/>
                <w:u w:val="single"/>
              </w:rPr>
              <w:t xml:space="preserve"> </w:t>
            </w:r>
            <w:r w:rsidRPr="006946DF" w:rsidR="006946DF">
              <w:rPr>
                <w:b/>
                <w:sz w:val="20"/>
                <w:szCs w:val="20"/>
                <w:u w:val="single"/>
              </w:rPr>
              <w:t>POSSESS</w:t>
            </w:r>
            <w:r w:rsidRPr="0048574E">
              <w:rPr>
                <w:b/>
                <w:sz w:val="20"/>
                <w:szCs w:val="20"/>
              </w:rPr>
              <w:t xml:space="preserve"> a degree</w:t>
            </w:r>
          </w:p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Non Honours Degree</w:t>
            </w:r>
          </w:p>
        </w:tc>
        <w:tc>
          <w:tcPr>
            <w:tcW w:w="4253" w:type="dxa"/>
            <w:vMerge w:val="restart"/>
            <w:tcBorders>
              <w:left w:val="single" w:color="auto" w:sz="18" w:space="0"/>
              <w:right w:val="single" w:color="auto" w:sz="12" w:space="0"/>
            </w:tcBorders>
            <w:shd w:val="clear" w:color="auto" w:fill="BFBFBF" w:themeFill="background1" w:themeFillShade="BF"/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</w:tr>
      <w:tr w:rsidRPr="0048574E" w:rsidR="0048574E" w:rsidTr="009A7E0A">
        <w:tc>
          <w:tcPr>
            <w:tcW w:w="2836" w:type="dxa"/>
            <w:vMerge/>
            <w:tcBorders>
              <w:right w:val="single" w:color="auto" w:sz="18" w:space="0"/>
            </w:tcBorders>
            <w:shd w:val="clear" w:color="auto" w:fill="FFFFFF" w:themeFill="background1"/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 w:rsidRPr="0048574E" w:rsidR="0048574E" w:rsidP="009347F4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Conversion on to Health and Professional Practice Programme and complete a further 60 credits </w:t>
            </w:r>
            <w:r w:rsidR="009347F4">
              <w:rPr>
                <w:sz w:val="20"/>
                <w:szCs w:val="20"/>
              </w:rPr>
              <w:t>to</w:t>
            </w:r>
            <w:r w:rsidRPr="0048574E">
              <w:rPr>
                <w:sz w:val="20"/>
                <w:szCs w:val="20"/>
              </w:rPr>
              <w:t xml:space="preserve"> exit with an Honours degree</w:t>
            </w:r>
          </w:p>
        </w:tc>
        <w:tc>
          <w:tcPr>
            <w:tcW w:w="4253" w:type="dxa"/>
            <w:vMerge/>
            <w:tcBorders>
              <w:left w:val="single" w:color="auto" w:sz="18" w:space="0"/>
              <w:right w:val="single" w:color="auto" w:sz="12" w:space="0"/>
            </w:tcBorders>
            <w:shd w:val="clear" w:color="auto" w:fill="BFBFBF" w:themeFill="background1" w:themeFillShade="BF"/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</w:tr>
      <w:tr w:rsidRPr="0048574E" w:rsidR="0048574E" w:rsidTr="009A7E0A">
        <w:tc>
          <w:tcPr>
            <w:tcW w:w="2836" w:type="dxa"/>
            <w:tcBorders>
              <w:right w:val="single" w:color="auto" w:sz="18" w:space="0"/>
            </w:tcBorders>
            <w:shd w:val="clear" w:color="auto" w:fill="FFFFFF" w:themeFill="background1"/>
          </w:tcPr>
          <w:p w:rsidRPr="0048574E" w:rsidR="0048574E" w:rsidP="0048574E" w:rsidRDefault="0048574E">
            <w:pPr>
              <w:rPr>
                <w:b/>
                <w:sz w:val="20"/>
                <w:szCs w:val="20"/>
              </w:rPr>
            </w:pPr>
            <w:r w:rsidRPr="0048574E">
              <w:rPr>
                <w:b/>
                <w:sz w:val="20"/>
                <w:szCs w:val="20"/>
              </w:rPr>
              <w:t xml:space="preserve">If you </w:t>
            </w:r>
            <w:r w:rsidRPr="006946DF" w:rsidR="006946DF">
              <w:rPr>
                <w:b/>
                <w:sz w:val="20"/>
                <w:szCs w:val="20"/>
                <w:u w:val="single"/>
              </w:rPr>
              <w:t>POSSESS</w:t>
            </w:r>
            <w:r w:rsidRPr="0048574E">
              <w:rPr>
                <w:b/>
                <w:sz w:val="20"/>
                <w:szCs w:val="20"/>
              </w:rPr>
              <w:t xml:space="preserve"> a degree</w:t>
            </w:r>
          </w:p>
          <w:p w:rsidRPr="0048574E" w:rsidR="0048574E" w:rsidP="0048574E" w:rsidRDefault="004857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>Graduate Certificate in Non-Medical</w:t>
            </w:r>
            <w:r w:rsidR="009347F4">
              <w:rPr>
                <w:sz w:val="20"/>
                <w:szCs w:val="20"/>
              </w:rPr>
              <w:t xml:space="preserve"> P</w:t>
            </w:r>
            <w:r w:rsidRPr="0048574E">
              <w:rPr>
                <w:sz w:val="20"/>
                <w:szCs w:val="20"/>
              </w:rPr>
              <w:t>rescribing</w:t>
            </w:r>
          </w:p>
        </w:tc>
        <w:tc>
          <w:tcPr>
            <w:tcW w:w="4253" w:type="dxa"/>
            <w:tcBorders>
              <w:left w:val="single" w:color="auto" w:sz="18" w:space="0"/>
              <w:right w:val="single" w:color="auto" w:sz="12" w:space="0"/>
            </w:tcBorders>
            <w:shd w:val="clear" w:color="auto" w:fill="FFFFFF" w:themeFill="background1"/>
          </w:tcPr>
          <w:p w:rsidRPr="0048574E" w:rsidR="0048574E" w:rsidP="0048574E" w:rsidRDefault="0048574E">
            <w:pPr>
              <w:rPr>
                <w:sz w:val="20"/>
                <w:szCs w:val="20"/>
              </w:rPr>
            </w:pPr>
            <w:r w:rsidRPr="0048574E">
              <w:rPr>
                <w:sz w:val="20"/>
                <w:szCs w:val="20"/>
              </w:rPr>
              <w:t xml:space="preserve">Post graduate Certificate in </w:t>
            </w:r>
            <w:r w:rsidR="009347F4">
              <w:rPr>
                <w:sz w:val="20"/>
                <w:szCs w:val="20"/>
              </w:rPr>
              <w:t>Non-Medical P</w:t>
            </w:r>
            <w:r w:rsidRPr="0048574E">
              <w:rPr>
                <w:sz w:val="20"/>
                <w:szCs w:val="20"/>
              </w:rPr>
              <w:t>rescribing</w:t>
            </w:r>
          </w:p>
        </w:tc>
      </w:tr>
    </w:tbl>
    <w:p w:rsidRPr="0048574E" w:rsidR="00A133EF" w:rsidP="00A133EF" w:rsidRDefault="00A133EF">
      <w:pPr>
        <w:pStyle w:val="ListParagraph"/>
        <w:rPr>
          <w:b/>
        </w:rPr>
      </w:pPr>
    </w:p>
    <w:p w:rsidRPr="00CA7C09" w:rsidR="00CA7C09" w:rsidP="00CA7C09" w:rsidRDefault="00CA7C09">
      <w:pPr>
        <w:rPr>
          <w:b/>
        </w:rPr>
      </w:pPr>
    </w:p>
    <w:p w:rsidRPr="004964AB" w:rsidR="00A15DE4" w:rsidP="004964AB" w:rsidRDefault="005A42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much study time will I need to set aside?</w:t>
      </w:r>
    </w:p>
    <w:p w:rsidR="00A15DE4" w:rsidRDefault="004964AB">
      <w:pPr>
        <w:pStyle w:val="ListParagraph"/>
      </w:pPr>
      <w:r>
        <w:t>In addition to the 26</w:t>
      </w:r>
      <w:r w:rsidR="005A4275">
        <w:t xml:space="preserve"> days att</w:t>
      </w:r>
      <w:r>
        <w:t>endance required at University, y</w:t>
      </w:r>
      <w:r w:rsidR="005A4275">
        <w:t xml:space="preserve">ou will </w:t>
      </w:r>
      <w:r>
        <w:t xml:space="preserve">be </w:t>
      </w:r>
      <w:r w:rsidR="005A4275">
        <w:t xml:space="preserve">required to undertake 12 days (78 hours) of practice based learning observing </w:t>
      </w:r>
      <w:r>
        <w:t>prescribing decisions</w:t>
      </w:r>
      <w:r w:rsidR="005A4275">
        <w:t xml:space="preserve">. </w:t>
      </w:r>
      <w:r>
        <w:t>You will also need to set aside between 6-8 hours per week to consolidate the information you have been given in class and to complete assignments.</w:t>
      </w:r>
    </w:p>
    <w:p w:rsidR="00A15DE4" w:rsidP="00CA7C09" w:rsidRDefault="00A15DE4"/>
    <w:p w:rsidR="00A15DE4" w:rsidP="00F52F4E" w:rsidRDefault="004964A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can I prepare for this Programme?</w:t>
      </w:r>
    </w:p>
    <w:p w:rsidR="00CA7C09" w:rsidP="00CA7C09" w:rsidRDefault="00CA7C09">
      <w:pPr>
        <w:pStyle w:val="ListParagraph"/>
        <w:numPr>
          <w:ilvl w:val="0"/>
          <w:numId w:val="7"/>
        </w:numPr>
      </w:pPr>
      <w:r>
        <w:t>Ensure that you are confident in undertaking drugs calculations</w:t>
      </w:r>
    </w:p>
    <w:p w:rsidR="00CA7C09" w:rsidP="00CA7C09" w:rsidRDefault="00CA7C09">
      <w:pPr>
        <w:pStyle w:val="ListParagraph"/>
        <w:numPr>
          <w:ilvl w:val="0"/>
          <w:numId w:val="7"/>
        </w:numPr>
      </w:pPr>
      <w:r>
        <w:t>Revise anatomy and physiology of liver, kidneys and cells.</w:t>
      </w:r>
    </w:p>
    <w:p w:rsidR="00CA7C09" w:rsidP="00CA7C09" w:rsidRDefault="00CA7C09">
      <w:pPr>
        <w:pStyle w:val="ListParagraph"/>
        <w:numPr>
          <w:ilvl w:val="0"/>
          <w:numId w:val="7"/>
        </w:numPr>
      </w:pPr>
      <w:r>
        <w:t xml:space="preserve">Obtain a pharmacology book aimed at </w:t>
      </w:r>
      <w:r w:rsidR="009347F4">
        <w:t>Pre-</w:t>
      </w:r>
      <w:r>
        <w:t>registration-students Nurses</w:t>
      </w:r>
      <w:r w:rsidR="009347F4">
        <w:t>.</w:t>
      </w:r>
      <w:r w:rsidRPr="00CA7C09">
        <w:t xml:space="preserve"> </w:t>
      </w:r>
      <w:r>
        <w:t xml:space="preserve">A good starter text is Barber &amp; Robertson </w:t>
      </w:r>
      <w:r>
        <w:rPr>
          <w:i/>
        </w:rPr>
        <w:t>Essentials of Pharmacology for Nurses (2012) (2</w:t>
      </w:r>
      <w:r>
        <w:rPr>
          <w:i/>
          <w:vertAlign w:val="superscript"/>
        </w:rPr>
        <w:t>nd</w:t>
      </w:r>
      <w:r>
        <w:rPr>
          <w:i/>
        </w:rPr>
        <w:t xml:space="preserve"> Edition).</w:t>
      </w:r>
      <w:r>
        <w:t xml:space="preserve"> This will give you a good basic knowledge of pharmacology on which you can build once you start the Programme</w:t>
      </w:r>
    </w:p>
    <w:p w:rsidRPr="00CA7C09" w:rsidR="00857ED8" w:rsidP="00857ED8" w:rsidRDefault="00CA7C09">
      <w:pPr>
        <w:pStyle w:val="ListParagraph"/>
        <w:numPr>
          <w:ilvl w:val="0"/>
          <w:numId w:val="7"/>
        </w:numPr>
      </w:pPr>
      <w:r>
        <w:t>Complete the work book that will be sent to you after your interview</w:t>
      </w:r>
    </w:p>
    <w:p w:rsidR="00A15DE4" w:rsidP="00A85DD6" w:rsidRDefault="005A4275">
      <w:r>
        <w:tab/>
      </w:r>
    </w:p>
    <w:p w:rsidR="00A15DE4" w:rsidRDefault="005A427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am an Allied Health Professional who wishes to become a prescriber what are the options for me?</w:t>
      </w:r>
    </w:p>
    <w:p w:rsidR="00857ED8" w:rsidP="009347F4" w:rsidRDefault="005A4275">
      <w:pPr>
        <w:pStyle w:val="ListParagraph"/>
      </w:pPr>
      <w:r>
        <w:t xml:space="preserve">Physiotherapists &amp; Podiatrists can study for their Independent and Supplementary Prescribing award with the nurses and midwives. For Radiographers the recordable qualification is supplementary prescriber only. </w:t>
      </w:r>
      <w:r w:rsidRPr="00CA7C09">
        <w:t xml:space="preserve">Pharmacists </w:t>
      </w:r>
      <w:r>
        <w:t xml:space="preserve">undertake a different programme in the School of Pharmacy Please note </w:t>
      </w:r>
      <w:r w:rsidRPr="00CA7C09">
        <w:t xml:space="preserve">we do not run the conversion course </w:t>
      </w:r>
      <w:r>
        <w:t xml:space="preserve">for physiotherapists and podiatrists who were initially supplementary prescribers who wish to study for independent prescribing status. There are a few Universities around the country that offer </w:t>
      </w:r>
      <w:r w:rsidR="009347F4">
        <w:t>this;</w:t>
      </w:r>
      <w:r>
        <w:t xml:space="preserve"> the list is on the HCPC website.</w:t>
      </w:r>
    </w:p>
    <w:p w:rsidR="00A15DE4" w:rsidRDefault="00A15DE4">
      <w:pPr>
        <w:ind w:left="720"/>
      </w:pPr>
    </w:p>
    <w:p w:rsidR="00F52F4E" w:rsidP="00F52F4E" w:rsidRDefault="005A4275">
      <w:pPr>
        <w:pStyle w:val="ListParagraph"/>
        <w:numPr>
          <w:ilvl w:val="0"/>
          <w:numId w:val="3"/>
        </w:numPr>
        <w:rPr>
          <w:b/>
        </w:rPr>
      </w:pPr>
      <w:r w:rsidRPr="00857ED8">
        <w:rPr>
          <w:b/>
        </w:rPr>
        <w:t xml:space="preserve">I am working in a specialist field and want to undertake a prescribing programme </w:t>
      </w:r>
      <w:r w:rsidRPr="00857ED8" w:rsidR="00F52F4E">
        <w:rPr>
          <w:b/>
        </w:rPr>
        <w:t xml:space="preserve">that focuses on my speciality, is this possible? </w:t>
      </w:r>
    </w:p>
    <w:p w:rsidR="00857ED8" w:rsidP="00857ED8" w:rsidRDefault="00857ED8">
      <w:pPr>
        <w:pStyle w:val="ListParagraph"/>
      </w:pPr>
      <w:r>
        <w:t xml:space="preserve">You cannot undertake a bespoke prescribing course for your speciality. The Non-Medical Prescribing Programme will give you a good grounding in generic pharmacology principles and therapeutics. You, along with your DMP must adapt and explore the specific issues relevant to your specialist field. </w:t>
      </w:r>
    </w:p>
    <w:p w:rsidR="00857ED8" w:rsidP="00857ED8" w:rsidRDefault="00857ED8">
      <w:pPr>
        <w:pStyle w:val="ListParagraph"/>
      </w:pPr>
    </w:p>
    <w:p w:rsidRPr="00857ED8" w:rsidR="00857ED8" w:rsidP="00857ED8" w:rsidRDefault="00857ED8">
      <w:pPr>
        <w:pStyle w:val="ListParagraph"/>
        <w:numPr>
          <w:ilvl w:val="0"/>
          <w:numId w:val="3"/>
        </w:numPr>
      </w:pPr>
      <w:r>
        <w:rPr>
          <w:b/>
        </w:rPr>
        <w:t xml:space="preserve">How do I apply for the </w:t>
      </w:r>
      <w:r w:rsidR="006946DF">
        <w:rPr>
          <w:b/>
        </w:rPr>
        <w:t>Non-Medical P</w:t>
      </w:r>
      <w:r>
        <w:rPr>
          <w:b/>
        </w:rPr>
        <w:t>rescribing Programme</w:t>
      </w:r>
    </w:p>
    <w:p w:rsidR="00857ED8" w:rsidP="00857ED8" w:rsidRDefault="00857ED8">
      <w:pPr>
        <w:pStyle w:val="ListParagraph"/>
      </w:pPr>
      <w:r>
        <w:t>Check that you meet the entry criteria.</w:t>
      </w:r>
    </w:p>
    <w:p w:rsidR="00857ED8" w:rsidP="00857ED8" w:rsidRDefault="00857ED8">
      <w:pPr>
        <w:pStyle w:val="ListParagraph"/>
      </w:pPr>
    </w:p>
    <w:p w:rsidR="00857ED8" w:rsidP="00857ED8" w:rsidRDefault="00857ED8">
      <w:pPr>
        <w:pStyle w:val="ListParagraph"/>
      </w:pPr>
      <w:r>
        <w:t>If you do, you will ne</w:t>
      </w:r>
      <w:r w:rsidR="006946DF">
        <w:t>e</w:t>
      </w:r>
      <w:r>
        <w:t>d to complete the on line application form for either</w:t>
      </w:r>
      <w:r w:rsidR="006946DF">
        <w:t xml:space="preserve"> </w:t>
      </w:r>
      <w:r w:rsidR="00077A66">
        <w:t>B23079</w:t>
      </w:r>
      <w:r>
        <w:t xml:space="preserve"> Level 7 or </w:t>
      </w:r>
      <w:r w:rsidR="00077A66">
        <w:t>B70042</w:t>
      </w:r>
      <w:r>
        <w:t xml:space="preserve"> for Level 6. You apply for the programme, not individual modules.</w:t>
      </w:r>
    </w:p>
    <w:p w:rsidR="00857ED8" w:rsidP="00857ED8" w:rsidRDefault="00857ED8">
      <w:pPr>
        <w:pStyle w:val="ListParagraph"/>
      </w:pPr>
    </w:p>
    <w:p w:rsidR="00857ED8" w:rsidP="00857ED8" w:rsidRDefault="00857ED8">
      <w:pPr>
        <w:pStyle w:val="ListParagraph"/>
      </w:pPr>
      <w:proofErr w:type="gramStart"/>
      <w:r>
        <w:t>Once your application form ha</w:t>
      </w:r>
      <w:r w:rsidR="006946DF">
        <w:t>s</w:t>
      </w:r>
      <w:r>
        <w:t xml:space="preserve"> been recei</w:t>
      </w:r>
      <w:r w:rsidR="006946DF">
        <w:t>ved by Learning Beyond Registration (LBR), your manager/Trusts Non-Medical Prescribing Lead will receive</w:t>
      </w:r>
      <w:r>
        <w:t xml:space="preserve"> an email in which they will need to confirm that they will support your application before LBR will proceed with your application</w:t>
      </w:r>
      <w:proofErr w:type="gramEnd"/>
      <w:r>
        <w:t>.</w:t>
      </w:r>
    </w:p>
    <w:p w:rsidR="00857ED8" w:rsidP="00857ED8" w:rsidRDefault="00857ED8">
      <w:pPr>
        <w:pStyle w:val="ListParagraph"/>
      </w:pPr>
    </w:p>
    <w:p w:rsidR="00857ED8" w:rsidP="00857ED8" w:rsidRDefault="006946DF">
      <w:pPr>
        <w:pStyle w:val="ListParagraph"/>
      </w:pPr>
      <w:r>
        <w:t>Once this confirmation of support from</w:t>
      </w:r>
      <w:r w:rsidR="00857ED8">
        <w:t xml:space="preserve"> your manager</w:t>
      </w:r>
      <w:r>
        <w:t>/Trusts Non-Medical Prescribing Lead</w:t>
      </w:r>
      <w:r w:rsidR="00857ED8">
        <w:t xml:space="preserve"> has been received, you will then receive an email with a number of appendices </w:t>
      </w:r>
      <w:r w:rsidR="00857ED8">
        <w:lastRenderedPageBreak/>
        <w:t>specific to the Non-medical prescribing programme. You must complete these and return them to LBR ASAP</w:t>
      </w:r>
    </w:p>
    <w:p w:rsidR="00857ED8" w:rsidP="00857ED8" w:rsidRDefault="00857ED8">
      <w:pPr>
        <w:pStyle w:val="ListParagraph"/>
      </w:pPr>
    </w:p>
    <w:p w:rsidR="00857ED8" w:rsidP="00857ED8" w:rsidRDefault="00857ED8">
      <w:pPr>
        <w:pStyle w:val="ListParagraph"/>
      </w:pPr>
      <w:r>
        <w:t xml:space="preserve">Once LBR have received your appendices will be reviewed by the </w:t>
      </w:r>
      <w:r w:rsidR="006946DF">
        <w:t>Non-Medical</w:t>
      </w:r>
      <w:r>
        <w:t xml:space="preserve"> Prescribing Programme leader, and if complete you will be invited to attend for an interview.</w:t>
      </w:r>
    </w:p>
    <w:p w:rsidR="006946DF" w:rsidP="00857ED8" w:rsidRDefault="006946DF">
      <w:pPr>
        <w:pStyle w:val="ListParagraph"/>
      </w:pPr>
    </w:p>
    <w:p w:rsidR="006946DF" w:rsidP="00857ED8" w:rsidRDefault="006946DF">
      <w:pPr>
        <w:pStyle w:val="ListParagraph"/>
      </w:pPr>
      <w:r>
        <w:t xml:space="preserve">Please be aware that it can take some time for this process to be completed, and you are therefore advised to start the application process as soon as possible. </w:t>
      </w:r>
      <w:proofErr w:type="gramStart"/>
      <w:r>
        <w:t>.You</w:t>
      </w:r>
      <w:proofErr w:type="gramEnd"/>
      <w:r>
        <w:t xml:space="preserve"> are advised to keep a copy of the appendices.</w:t>
      </w:r>
    </w:p>
    <w:p w:rsidR="00857ED8" w:rsidP="00857ED8" w:rsidRDefault="00857ED8">
      <w:pPr>
        <w:pStyle w:val="ListParagraph"/>
      </w:pPr>
    </w:p>
    <w:p w:rsidRPr="00857ED8" w:rsidR="00857ED8" w:rsidP="00857ED8" w:rsidRDefault="00857ED8">
      <w:pPr>
        <w:pStyle w:val="ListParagraph"/>
      </w:pPr>
    </w:p>
    <w:p w:rsidR="00857ED8" w:rsidP="00857ED8" w:rsidRDefault="00857ED8">
      <w:pPr>
        <w:pStyle w:val="ListParagraph"/>
        <w:rPr>
          <w:b/>
        </w:rPr>
      </w:pPr>
    </w:p>
    <w:p w:rsidR="00857ED8" w:rsidP="00857ED8" w:rsidRDefault="00857ED8">
      <w:pPr>
        <w:pStyle w:val="ListParagraph"/>
        <w:rPr>
          <w:b/>
        </w:rPr>
      </w:pPr>
    </w:p>
    <w:p w:rsidRPr="00857ED8" w:rsidR="00857ED8" w:rsidP="00857ED8" w:rsidRDefault="00857ED8">
      <w:pPr>
        <w:pStyle w:val="ListParagraph"/>
        <w:rPr>
          <w:b/>
        </w:rPr>
      </w:pPr>
    </w:p>
    <w:p w:rsidRPr="00F52F4E" w:rsidR="00857ED8" w:rsidP="00857ED8" w:rsidRDefault="00857ED8">
      <w:pPr>
        <w:pStyle w:val="ListParagraph"/>
      </w:pPr>
    </w:p>
    <w:p w:rsidR="00857ED8" w:rsidP="00F52F4E" w:rsidRDefault="00857ED8">
      <w:pPr>
        <w:pStyle w:val="ListParagraph"/>
      </w:pPr>
    </w:p>
    <w:p w:rsidR="00A15DE4" w:rsidRDefault="00A15DE4">
      <w:pPr>
        <w:ind w:left="720"/>
      </w:pPr>
    </w:p>
    <w:sectPr w:rsidR="00A15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F5B"/>
    <w:multiLevelType w:val="multilevel"/>
    <w:tmpl w:val="556A45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38072CC1"/>
    <w:multiLevelType w:val="hybridMultilevel"/>
    <w:tmpl w:val="2AC06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01C56"/>
    <w:multiLevelType w:val="multilevel"/>
    <w:tmpl w:val="7C6468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27A6"/>
    <w:multiLevelType w:val="multilevel"/>
    <w:tmpl w:val="78EC8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26E9"/>
    <w:multiLevelType w:val="multilevel"/>
    <w:tmpl w:val="C6CABA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790C1E7D"/>
    <w:multiLevelType w:val="hybridMultilevel"/>
    <w:tmpl w:val="973C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4"/>
    <w:rsid w:val="00077A66"/>
    <w:rsid w:val="0048574E"/>
    <w:rsid w:val="004964AB"/>
    <w:rsid w:val="005A4275"/>
    <w:rsid w:val="006946DF"/>
    <w:rsid w:val="00783807"/>
    <w:rsid w:val="007A0EF0"/>
    <w:rsid w:val="00857ED8"/>
    <w:rsid w:val="009347F4"/>
    <w:rsid w:val="00A133EF"/>
    <w:rsid w:val="00A15DE4"/>
    <w:rsid w:val="00A85DD6"/>
    <w:rsid w:val="00CA7C09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eastAsia="Calibri" w:hAnsi="Arial" w:cs="Arial"/>
      <w:sz w:val="24"/>
      <w:szCs w:val="24"/>
    </w:rPr>
  </w:style>
  <w:style w:type="paragraph" w:styleId="CommentSubject">
    <w:name w:val="annotation subject"/>
    <w:basedOn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57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eastAsia="Calibri" w:hAnsi="Arial" w:cs="Arial"/>
      <w:sz w:val="24"/>
      <w:szCs w:val="24"/>
    </w:rPr>
  </w:style>
  <w:style w:type="paragraph" w:styleId="CommentSubject">
    <w:name w:val="annotation subject"/>
    <w:basedOn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57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E4FB-7B5C-5349-8DEF-17F09458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FAQ--for-website-2015-2016</vt:lpstr>
    </vt:vector>
  </TitlesOfParts>
  <Company>De Montfort University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- 2015 - 2016</dc:title>
  <dc:creator>Jamil Anait</dc:creator>
  <cp:lastModifiedBy>Mohammed Anait</cp:lastModifiedBy>
  <cp:revision>2</cp:revision>
  <cp:lastPrinted>2010-03-26T13:49:00Z</cp:lastPrinted>
  <dcterms:created xsi:type="dcterms:W3CDTF">2015-11-09T10:24:00Z</dcterms:created>
  <dcterms:modified xsi:type="dcterms:W3CDTF">2015-11-09T10:37:16Z</dcterms:modified>
  <cp:keywords>
  </cp:keywords>
  <dc:subject>
  </dc:subject>
</cp:coreProperties>
</file>